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horzAnchor="margin" w:tblpY="-834"/>
        <w:tblW w:w="9128" w:type="dxa"/>
        <w:tblLayout w:type="fixed"/>
        <w:tblCellMar>
          <w:left w:w="56" w:type="dxa"/>
          <w:right w:w="56" w:type="dxa"/>
        </w:tblCellMar>
        <w:tblLook w:val="04A0" w:firstRow="1" w:lastRow="0" w:firstColumn="1" w:lastColumn="0" w:noHBand="0" w:noVBand="1"/>
      </w:tblPr>
      <w:tblGrid>
        <w:gridCol w:w="1205"/>
        <w:gridCol w:w="2255"/>
        <w:gridCol w:w="2539"/>
        <w:gridCol w:w="3129"/>
      </w:tblGrid>
      <w:tr w:rsidR="007E652E" w:rsidRPr="007E652E" w:rsidTr="007E23C7">
        <w:trPr>
          <w:cantSplit/>
          <w:trHeight w:val="1418"/>
        </w:trPr>
        <w:tc>
          <w:tcPr>
            <w:tcW w:w="1205" w:type="dxa"/>
          </w:tcPr>
          <w:p w:rsidR="00F7415C" w:rsidRPr="007E652E" w:rsidRDefault="007310D4" w:rsidP="006A508E">
            <w:pPr>
              <w:spacing w:before="240" w:after="240" w:line="360" w:lineRule="auto"/>
              <w:rPr>
                <w:rFonts w:ascii="Arial" w:hAnsi="Arial" w:cs="Arial"/>
                <w:sz w:val="24"/>
                <w:szCs w:val="24"/>
              </w:rPr>
            </w:pPr>
            <w:bookmarkStart w:id="0" w:name="_GoBack"/>
            <w:bookmarkEnd w:id="0"/>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pt;margin-top:1.65pt;width:55.3pt;height:59.55pt;z-index:251659264" o:preferrelative="f" o:allowincell="f" fillcolor="window">
                  <v:imagedata r:id="rId9" o:title=""/>
                  <o:lock v:ext="edit" aspectratio="f"/>
                  <w10:anchorlock/>
                </v:shape>
                <o:OLEObject Type="Embed" ProgID="Word.Picture.8" ShapeID="_x0000_s1026" DrawAspect="Content" ObjectID="_1589181840" r:id="rId10"/>
              </w:pict>
            </w:r>
          </w:p>
          <w:p w:rsidR="00F7415C" w:rsidRPr="007E652E" w:rsidRDefault="00F7415C" w:rsidP="006A508E">
            <w:pPr>
              <w:spacing w:before="240" w:after="240" w:line="360" w:lineRule="auto"/>
              <w:rPr>
                <w:rFonts w:ascii="Arial" w:hAnsi="Arial" w:cs="Arial"/>
                <w:sz w:val="24"/>
                <w:szCs w:val="24"/>
              </w:rPr>
            </w:pPr>
          </w:p>
          <w:p w:rsidR="00F7415C" w:rsidRPr="007E652E" w:rsidRDefault="00F7415C" w:rsidP="006A508E">
            <w:pPr>
              <w:spacing w:before="240" w:after="240" w:line="360" w:lineRule="auto"/>
              <w:rPr>
                <w:rFonts w:ascii="Arial" w:hAnsi="Arial" w:cs="Arial"/>
                <w:sz w:val="24"/>
                <w:szCs w:val="24"/>
              </w:rPr>
            </w:pPr>
          </w:p>
        </w:tc>
        <w:tc>
          <w:tcPr>
            <w:tcW w:w="2255" w:type="dxa"/>
          </w:tcPr>
          <w:p w:rsidR="00F7415C" w:rsidRPr="007E652E" w:rsidRDefault="00F7415C" w:rsidP="006A508E">
            <w:pPr>
              <w:spacing w:before="240" w:after="240" w:line="360" w:lineRule="auto"/>
              <w:rPr>
                <w:rFonts w:ascii="Arial" w:hAnsi="Arial" w:cs="Arial"/>
                <w:sz w:val="24"/>
                <w:szCs w:val="24"/>
              </w:rPr>
            </w:pPr>
          </w:p>
          <w:p w:rsidR="00F7415C" w:rsidRPr="007E652E" w:rsidRDefault="00F7415C" w:rsidP="006A508E">
            <w:pPr>
              <w:spacing w:before="240" w:after="240" w:line="360" w:lineRule="auto"/>
              <w:rPr>
                <w:rFonts w:ascii="Arial" w:hAnsi="Arial" w:cs="Arial"/>
                <w:sz w:val="24"/>
                <w:szCs w:val="24"/>
              </w:rPr>
            </w:pPr>
            <w:r w:rsidRPr="007E652E">
              <w:rPr>
                <w:rFonts w:ascii="Arial" w:hAnsi="Arial" w:cs="Arial"/>
                <w:sz w:val="24"/>
                <w:szCs w:val="24"/>
              </w:rPr>
              <w:t>MINISTERIO</w:t>
            </w:r>
          </w:p>
          <w:p w:rsidR="00F7415C" w:rsidRPr="007E652E" w:rsidRDefault="00F7415C" w:rsidP="006A508E">
            <w:pPr>
              <w:spacing w:before="240" w:after="240" w:line="360" w:lineRule="auto"/>
              <w:rPr>
                <w:rFonts w:ascii="Arial" w:hAnsi="Arial" w:cs="Arial"/>
                <w:sz w:val="24"/>
                <w:szCs w:val="24"/>
              </w:rPr>
            </w:pPr>
            <w:r w:rsidRPr="007E652E">
              <w:rPr>
                <w:rFonts w:ascii="Arial" w:hAnsi="Arial" w:cs="Arial"/>
                <w:sz w:val="24"/>
                <w:szCs w:val="24"/>
              </w:rPr>
              <w:t>DE JUSTICIA</w:t>
            </w:r>
          </w:p>
        </w:tc>
        <w:tc>
          <w:tcPr>
            <w:tcW w:w="2539" w:type="dxa"/>
          </w:tcPr>
          <w:p w:rsidR="00F7415C" w:rsidRPr="007E652E" w:rsidRDefault="00F7415C" w:rsidP="006A508E">
            <w:pPr>
              <w:spacing w:before="240" w:after="240" w:line="360" w:lineRule="auto"/>
              <w:rPr>
                <w:rFonts w:ascii="Arial" w:hAnsi="Arial" w:cs="Arial"/>
                <w:sz w:val="24"/>
                <w:szCs w:val="24"/>
              </w:rPr>
            </w:pPr>
          </w:p>
        </w:tc>
        <w:tc>
          <w:tcPr>
            <w:tcW w:w="3129" w:type="dxa"/>
          </w:tcPr>
          <w:p w:rsidR="0010783C" w:rsidRPr="007E652E" w:rsidRDefault="0010783C" w:rsidP="006A508E">
            <w:pPr>
              <w:spacing w:before="240" w:after="240" w:line="360" w:lineRule="auto"/>
              <w:rPr>
                <w:rFonts w:ascii="Arial" w:hAnsi="Arial" w:cs="Arial"/>
                <w:sz w:val="24"/>
                <w:szCs w:val="24"/>
              </w:rPr>
            </w:pPr>
          </w:p>
          <w:p w:rsidR="0010783C" w:rsidRPr="007E652E" w:rsidRDefault="0010783C" w:rsidP="006A508E">
            <w:pPr>
              <w:spacing w:before="240" w:after="240" w:line="360" w:lineRule="auto"/>
              <w:ind w:left="57"/>
              <w:jc w:val="right"/>
              <w:rPr>
                <w:rFonts w:ascii="Arial" w:hAnsi="Arial" w:cs="Arial"/>
                <w:sz w:val="24"/>
                <w:szCs w:val="24"/>
              </w:rPr>
            </w:pPr>
            <w:r w:rsidRPr="007E652E">
              <w:rPr>
                <w:rFonts w:ascii="Arial" w:hAnsi="Arial" w:cs="Arial"/>
                <w:sz w:val="24"/>
                <w:szCs w:val="24"/>
              </w:rPr>
              <w:t>Secretaría General Técnica</w:t>
            </w:r>
          </w:p>
          <w:p w:rsidR="00F7415C" w:rsidRPr="007E652E" w:rsidRDefault="0010783C" w:rsidP="006A508E">
            <w:pPr>
              <w:spacing w:before="240" w:after="240" w:line="360" w:lineRule="auto"/>
              <w:ind w:left="57"/>
              <w:jc w:val="right"/>
              <w:rPr>
                <w:rFonts w:ascii="Arial" w:hAnsi="Arial" w:cs="Arial"/>
                <w:sz w:val="24"/>
                <w:szCs w:val="24"/>
              </w:rPr>
            </w:pPr>
            <w:r w:rsidRPr="007E652E">
              <w:rPr>
                <w:rFonts w:ascii="Arial" w:hAnsi="Arial" w:cs="Arial"/>
                <w:sz w:val="24"/>
                <w:szCs w:val="24"/>
              </w:rPr>
              <w:t xml:space="preserve">Subdirección General de Política Legislativa </w:t>
            </w:r>
          </w:p>
          <w:p w:rsidR="00F7415C" w:rsidRPr="007E652E" w:rsidRDefault="00F7415C" w:rsidP="00846671">
            <w:pPr>
              <w:spacing w:before="240" w:after="240" w:line="360" w:lineRule="auto"/>
              <w:jc w:val="right"/>
              <w:rPr>
                <w:rFonts w:ascii="Arial" w:hAnsi="Arial" w:cs="Arial"/>
                <w:sz w:val="24"/>
                <w:szCs w:val="24"/>
              </w:rPr>
            </w:pPr>
          </w:p>
        </w:tc>
      </w:tr>
    </w:tbl>
    <w:p w:rsidR="00F7415C" w:rsidRPr="007E652E" w:rsidRDefault="00F7415C" w:rsidP="006A508E">
      <w:pPr>
        <w:tabs>
          <w:tab w:val="left" w:pos="708"/>
          <w:tab w:val="center" w:pos="4252"/>
          <w:tab w:val="right" w:pos="8504"/>
        </w:tabs>
        <w:spacing w:before="240" w:after="240" w:line="360" w:lineRule="auto"/>
        <w:jc w:val="both"/>
        <w:rPr>
          <w:rFonts w:ascii="Arial" w:eastAsia="Times New Roman" w:hAnsi="Arial" w:cs="Arial"/>
          <w:b/>
          <w:sz w:val="24"/>
          <w:szCs w:val="24"/>
          <w:lang w:eastAsia="es-ES"/>
        </w:rPr>
      </w:pPr>
    </w:p>
    <w:p w:rsidR="00F7415C" w:rsidRPr="007E652E" w:rsidRDefault="00F7415C" w:rsidP="006A508E">
      <w:pPr>
        <w:tabs>
          <w:tab w:val="left" w:pos="708"/>
          <w:tab w:val="center" w:pos="4252"/>
          <w:tab w:val="right" w:pos="8504"/>
        </w:tabs>
        <w:spacing w:before="240" w:after="240" w:line="360" w:lineRule="auto"/>
        <w:jc w:val="both"/>
        <w:rPr>
          <w:rFonts w:ascii="Arial" w:eastAsia="Times New Roman" w:hAnsi="Arial" w:cs="Arial"/>
          <w:b/>
          <w:sz w:val="28"/>
          <w:szCs w:val="28"/>
          <w:lang w:eastAsia="es-ES"/>
        </w:rPr>
      </w:pPr>
    </w:p>
    <w:p w:rsidR="003B31BC" w:rsidRPr="007E652E" w:rsidRDefault="003B31BC" w:rsidP="006A508E">
      <w:pPr>
        <w:widowControl w:val="0"/>
        <w:autoSpaceDE w:val="0"/>
        <w:autoSpaceDN w:val="0"/>
        <w:adjustRightInd w:val="0"/>
        <w:spacing w:before="240" w:after="240"/>
        <w:jc w:val="center"/>
        <w:rPr>
          <w:rFonts w:ascii="Arial" w:hAnsi="Arial" w:cs="Arial"/>
          <w:b/>
          <w:bCs/>
          <w:sz w:val="28"/>
          <w:szCs w:val="28"/>
          <w:u w:val="single"/>
        </w:rPr>
      </w:pPr>
      <w:r w:rsidRPr="007E652E">
        <w:rPr>
          <w:rFonts w:ascii="Arial" w:hAnsi="Arial" w:cs="Arial"/>
          <w:b/>
          <w:bCs/>
          <w:sz w:val="28"/>
          <w:szCs w:val="28"/>
          <w:u w:val="single"/>
        </w:rPr>
        <w:t>MEMORIA DEL ANÁLISIS DE IMPACTO NORMATIVO</w:t>
      </w:r>
    </w:p>
    <w:p w:rsidR="003B31BC" w:rsidRPr="007E652E" w:rsidRDefault="003B31BC" w:rsidP="006A508E">
      <w:pPr>
        <w:widowControl w:val="0"/>
        <w:autoSpaceDE w:val="0"/>
        <w:autoSpaceDN w:val="0"/>
        <w:adjustRightInd w:val="0"/>
        <w:spacing w:before="240" w:after="240"/>
        <w:jc w:val="both"/>
        <w:rPr>
          <w:rFonts w:ascii="Arial" w:hAnsi="Arial" w:cs="Arial"/>
          <w:b/>
          <w:bCs/>
          <w:sz w:val="28"/>
          <w:szCs w:val="28"/>
        </w:rPr>
      </w:pPr>
    </w:p>
    <w:p w:rsidR="003B31BC" w:rsidRPr="007E652E" w:rsidRDefault="003B31BC" w:rsidP="006A508E">
      <w:pPr>
        <w:widowControl w:val="0"/>
        <w:autoSpaceDE w:val="0"/>
        <w:autoSpaceDN w:val="0"/>
        <w:adjustRightInd w:val="0"/>
        <w:spacing w:before="240" w:after="240"/>
        <w:jc w:val="both"/>
        <w:rPr>
          <w:rFonts w:ascii="Arial" w:hAnsi="Arial" w:cs="Arial"/>
          <w:b/>
          <w:bCs/>
          <w:sz w:val="28"/>
          <w:szCs w:val="28"/>
        </w:rPr>
      </w:pPr>
    </w:p>
    <w:p w:rsidR="003B31BC" w:rsidRPr="007E652E" w:rsidRDefault="003B31BC" w:rsidP="006A508E">
      <w:pPr>
        <w:widowControl w:val="0"/>
        <w:autoSpaceDE w:val="0"/>
        <w:autoSpaceDN w:val="0"/>
        <w:adjustRightInd w:val="0"/>
        <w:spacing w:before="240" w:after="240"/>
        <w:jc w:val="both"/>
        <w:rPr>
          <w:rFonts w:ascii="Arial" w:hAnsi="Arial" w:cs="Arial"/>
          <w:b/>
          <w:bCs/>
          <w:sz w:val="28"/>
          <w:szCs w:val="28"/>
        </w:rPr>
      </w:pPr>
    </w:p>
    <w:p w:rsidR="00A93BAC" w:rsidRPr="007E652E" w:rsidRDefault="00A93BAC" w:rsidP="006A508E">
      <w:pPr>
        <w:widowControl w:val="0"/>
        <w:autoSpaceDE w:val="0"/>
        <w:autoSpaceDN w:val="0"/>
        <w:adjustRightInd w:val="0"/>
        <w:spacing w:before="240" w:after="240"/>
        <w:jc w:val="center"/>
        <w:rPr>
          <w:rFonts w:ascii="Arial" w:hAnsi="Arial" w:cs="Arial"/>
          <w:b/>
          <w:bCs/>
          <w:sz w:val="28"/>
          <w:szCs w:val="28"/>
          <w:u w:val="single"/>
        </w:rPr>
      </w:pPr>
      <w:r w:rsidRPr="007E652E">
        <w:rPr>
          <w:rFonts w:ascii="Arial" w:hAnsi="Arial" w:cs="Arial"/>
          <w:b/>
          <w:bCs/>
          <w:sz w:val="28"/>
          <w:szCs w:val="28"/>
          <w:u w:val="single"/>
        </w:rPr>
        <w:t xml:space="preserve">Anteproyecto de Ley </w:t>
      </w:r>
      <w:r w:rsidR="0023001F" w:rsidRPr="007E652E">
        <w:rPr>
          <w:rFonts w:ascii="Arial" w:hAnsi="Arial" w:cs="Arial"/>
          <w:b/>
          <w:bCs/>
          <w:sz w:val="28"/>
          <w:szCs w:val="28"/>
          <w:u w:val="single"/>
        </w:rPr>
        <w:t xml:space="preserve">de </w:t>
      </w:r>
      <w:r w:rsidRPr="007E652E">
        <w:rPr>
          <w:rFonts w:ascii="Arial" w:hAnsi="Arial" w:cs="Arial"/>
          <w:b/>
          <w:bCs/>
          <w:sz w:val="28"/>
          <w:szCs w:val="28"/>
          <w:u w:val="single"/>
        </w:rPr>
        <w:t>Secretos Empresariales</w:t>
      </w:r>
    </w:p>
    <w:p w:rsidR="003B31BC" w:rsidRPr="007E652E" w:rsidRDefault="003B31BC" w:rsidP="006A508E">
      <w:pPr>
        <w:widowControl w:val="0"/>
        <w:autoSpaceDE w:val="0"/>
        <w:autoSpaceDN w:val="0"/>
        <w:adjustRightInd w:val="0"/>
        <w:spacing w:before="240" w:after="240"/>
        <w:jc w:val="center"/>
        <w:rPr>
          <w:rFonts w:ascii="Arial" w:hAnsi="Arial" w:cs="Arial"/>
          <w:b/>
          <w:bCs/>
          <w:sz w:val="28"/>
          <w:szCs w:val="28"/>
        </w:rPr>
      </w:pPr>
    </w:p>
    <w:p w:rsidR="003B31BC" w:rsidRPr="007E652E" w:rsidRDefault="003B31BC" w:rsidP="006A508E">
      <w:pPr>
        <w:widowControl w:val="0"/>
        <w:autoSpaceDE w:val="0"/>
        <w:autoSpaceDN w:val="0"/>
        <w:adjustRightInd w:val="0"/>
        <w:spacing w:before="240" w:after="240"/>
        <w:jc w:val="center"/>
        <w:rPr>
          <w:rFonts w:ascii="Arial" w:hAnsi="Arial" w:cs="Arial"/>
          <w:b/>
          <w:bCs/>
          <w:sz w:val="28"/>
          <w:szCs w:val="28"/>
        </w:rPr>
      </w:pPr>
    </w:p>
    <w:p w:rsidR="003B31BC" w:rsidRPr="007E652E" w:rsidRDefault="003B31BC" w:rsidP="006A508E">
      <w:pPr>
        <w:widowControl w:val="0"/>
        <w:autoSpaceDE w:val="0"/>
        <w:autoSpaceDN w:val="0"/>
        <w:adjustRightInd w:val="0"/>
        <w:spacing w:before="240" w:after="240"/>
        <w:jc w:val="center"/>
        <w:rPr>
          <w:rFonts w:ascii="Arial" w:hAnsi="Arial" w:cs="Arial"/>
          <w:b/>
          <w:bCs/>
          <w:sz w:val="28"/>
          <w:szCs w:val="28"/>
        </w:rPr>
      </w:pPr>
    </w:p>
    <w:p w:rsidR="00C11693" w:rsidRDefault="006412BE" w:rsidP="006A508E">
      <w:pPr>
        <w:spacing w:before="240" w:after="240"/>
        <w:jc w:val="center"/>
        <w:rPr>
          <w:rFonts w:ascii="Arial" w:hAnsi="Arial" w:cs="Arial"/>
          <w:b/>
          <w:bCs/>
          <w:sz w:val="28"/>
          <w:szCs w:val="28"/>
        </w:rPr>
      </w:pPr>
      <w:r>
        <w:rPr>
          <w:rFonts w:ascii="Arial" w:hAnsi="Arial" w:cs="Arial"/>
          <w:b/>
          <w:bCs/>
          <w:sz w:val="28"/>
          <w:szCs w:val="28"/>
        </w:rPr>
        <w:t>20</w:t>
      </w:r>
      <w:r w:rsidRPr="007E652E">
        <w:rPr>
          <w:rFonts w:ascii="Arial" w:hAnsi="Arial" w:cs="Arial"/>
          <w:b/>
          <w:bCs/>
          <w:sz w:val="28"/>
          <w:szCs w:val="28"/>
        </w:rPr>
        <w:t xml:space="preserve"> </w:t>
      </w:r>
      <w:r w:rsidR="000A5CA3" w:rsidRPr="007E652E">
        <w:rPr>
          <w:rFonts w:ascii="Arial" w:hAnsi="Arial" w:cs="Arial"/>
          <w:b/>
          <w:bCs/>
          <w:sz w:val="28"/>
          <w:szCs w:val="28"/>
        </w:rPr>
        <w:t xml:space="preserve">de </w:t>
      </w:r>
      <w:r w:rsidR="002D4BD6">
        <w:rPr>
          <w:rFonts w:ascii="Arial" w:hAnsi="Arial" w:cs="Arial"/>
          <w:b/>
          <w:bCs/>
          <w:sz w:val="28"/>
          <w:szCs w:val="28"/>
        </w:rPr>
        <w:t>mayo</w:t>
      </w:r>
      <w:r w:rsidR="002D4BD6" w:rsidRPr="007E652E">
        <w:rPr>
          <w:rFonts w:ascii="Arial" w:hAnsi="Arial" w:cs="Arial"/>
          <w:b/>
          <w:bCs/>
          <w:sz w:val="28"/>
          <w:szCs w:val="28"/>
        </w:rPr>
        <w:t xml:space="preserve"> </w:t>
      </w:r>
      <w:r w:rsidR="00B00E47" w:rsidRPr="007E652E">
        <w:rPr>
          <w:rFonts w:ascii="Arial" w:hAnsi="Arial" w:cs="Arial"/>
          <w:b/>
          <w:bCs/>
          <w:sz w:val="28"/>
          <w:szCs w:val="28"/>
        </w:rPr>
        <w:t>de 2018</w:t>
      </w:r>
    </w:p>
    <w:p w:rsidR="003B31BC" w:rsidRPr="007E652E" w:rsidRDefault="003B31BC" w:rsidP="006A508E">
      <w:pPr>
        <w:spacing w:before="240" w:after="240"/>
        <w:jc w:val="center"/>
        <w:rPr>
          <w:rFonts w:ascii="Arial" w:hAnsi="Arial" w:cs="Arial"/>
          <w:sz w:val="24"/>
          <w:szCs w:val="24"/>
        </w:rPr>
      </w:pPr>
      <w:r w:rsidRPr="007E652E">
        <w:rPr>
          <w:rFonts w:ascii="Arial" w:hAnsi="Arial" w:cs="Arial"/>
          <w:sz w:val="24"/>
          <w:szCs w:val="24"/>
        </w:rPr>
        <w:br w:type="page"/>
      </w:r>
    </w:p>
    <w:p w:rsidR="003B31BC" w:rsidRPr="007E652E" w:rsidRDefault="003B31BC" w:rsidP="006A508E">
      <w:pPr>
        <w:pBdr>
          <w:bottom w:val="single" w:sz="4" w:space="1" w:color="auto"/>
        </w:pBdr>
        <w:spacing w:before="240" w:after="240"/>
        <w:jc w:val="center"/>
        <w:rPr>
          <w:rFonts w:ascii="Arial" w:hAnsi="Arial" w:cs="Arial"/>
          <w:b/>
          <w:sz w:val="24"/>
          <w:szCs w:val="24"/>
        </w:rPr>
      </w:pPr>
      <w:r w:rsidRPr="007E652E">
        <w:rPr>
          <w:rFonts w:ascii="Arial" w:hAnsi="Arial" w:cs="Arial"/>
          <w:b/>
          <w:sz w:val="24"/>
          <w:szCs w:val="24"/>
        </w:rPr>
        <w:lastRenderedPageBreak/>
        <w:t>Índice</w:t>
      </w:r>
    </w:p>
    <w:p w:rsidR="00C77F48" w:rsidRPr="007E652E" w:rsidRDefault="00C77F48" w:rsidP="006A508E">
      <w:pPr>
        <w:pStyle w:val="TDC1"/>
        <w:spacing w:before="240" w:after="240"/>
        <w:ind w:left="644"/>
        <w:rPr>
          <w:rFonts w:ascii="Arial" w:hAnsi="Arial" w:cs="Arial"/>
          <w:sz w:val="24"/>
          <w:szCs w:val="24"/>
        </w:rPr>
      </w:pPr>
    </w:p>
    <w:p w:rsidR="00A21EFB" w:rsidRPr="00151F16" w:rsidRDefault="00C7606A">
      <w:pPr>
        <w:pStyle w:val="TDC1"/>
        <w:tabs>
          <w:tab w:val="right" w:leader="dot" w:pos="9062"/>
        </w:tabs>
        <w:rPr>
          <w:rFonts w:ascii="Arial" w:eastAsiaTheme="minorEastAsia" w:hAnsi="Arial" w:cs="Arial"/>
          <w:b w:val="0"/>
          <w:bCs w:val="0"/>
          <w:caps w:val="0"/>
          <w:noProof/>
          <w:sz w:val="24"/>
          <w:szCs w:val="24"/>
          <w:lang w:eastAsia="es-ES"/>
        </w:rPr>
      </w:pPr>
      <w:r w:rsidRPr="009209F3">
        <w:rPr>
          <w:rFonts w:ascii="Arial" w:hAnsi="Arial" w:cs="Arial"/>
          <w:sz w:val="24"/>
          <w:szCs w:val="24"/>
          <w:lang w:val="es-ES_tradnl" w:eastAsia="es-ES_tradnl"/>
        </w:rPr>
        <w:fldChar w:fldCharType="begin"/>
      </w:r>
      <w:r w:rsidRPr="009209F3">
        <w:rPr>
          <w:rFonts w:ascii="Arial" w:hAnsi="Arial" w:cs="Arial"/>
          <w:sz w:val="24"/>
          <w:szCs w:val="24"/>
          <w:lang w:val="es-ES_tradnl" w:eastAsia="es-ES_tradnl"/>
        </w:rPr>
        <w:instrText xml:space="preserve"> TOC \o "1-3" \h \z \u </w:instrText>
      </w:r>
      <w:r w:rsidRPr="009209F3">
        <w:rPr>
          <w:rFonts w:ascii="Arial" w:hAnsi="Arial" w:cs="Arial"/>
          <w:sz w:val="24"/>
          <w:szCs w:val="24"/>
          <w:lang w:val="es-ES_tradnl" w:eastAsia="es-ES_tradnl"/>
        </w:rPr>
        <w:fldChar w:fldCharType="separate"/>
      </w:r>
      <w:hyperlink w:anchor="_Toc511982513" w:history="1">
        <w:r w:rsidR="00A21EFB" w:rsidRPr="00151F16">
          <w:rPr>
            <w:rStyle w:val="Hipervnculo"/>
            <w:rFonts w:ascii="Arial" w:hAnsi="Arial" w:cs="Arial"/>
            <w:noProof/>
            <w:sz w:val="24"/>
            <w:szCs w:val="24"/>
          </w:rPr>
          <w:t>0. FICHA DEL RESUMEN EJECUTIVO</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_Toc511982513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14" w:history="1">
        <w:r w:rsidR="00A21EFB" w:rsidRPr="00151F16">
          <w:rPr>
            <w:rStyle w:val="Hipervnculo"/>
            <w:rFonts w:ascii="Arial" w:hAnsi="Arial" w:cs="Arial"/>
            <w:noProof/>
            <w:sz w:val="24"/>
            <w:szCs w:val="24"/>
          </w:rPr>
          <w:t>1. OPORTUNIDAD DE LA PROPUESTA</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_Toc511982514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7</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15" w:history="1">
        <w:r w:rsidR="00A21EFB" w:rsidRPr="00151F16">
          <w:rPr>
            <w:rStyle w:val="Hipervnculo"/>
            <w:rFonts w:ascii="Arial" w:hAnsi="Arial" w:cs="Arial"/>
            <w:noProof/>
            <w:sz w:val="24"/>
            <w:szCs w:val="24"/>
          </w:rPr>
          <w:t>1.1 Fines y objetivos perseguidos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_Toc511982515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10</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16" w:history="1">
        <w:r w:rsidR="00A21EFB" w:rsidRPr="00151F16">
          <w:rPr>
            <w:rStyle w:val="Hipervnculo"/>
            <w:rFonts w:ascii="Arial" w:hAnsi="Arial" w:cs="Arial"/>
            <w:noProof/>
            <w:sz w:val="24"/>
            <w:szCs w:val="24"/>
          </w:rPr>
          <w:t>1.2 Adecuación a los principios de buena regulación</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_Toc511982516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12</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17" w:history="1">
        <w:r w:rsidR="00A21EFB" w:rsidRPr="00151F16">
          <w:rPr>
            <w:rStyle w:val="Hipervnculo"/>
            <w:rFonts w:ascii="Arial" w:hAnsi="Arial" w:cs="Arial"/>
            <w:noProof/>
            <w:sz w:val="24"/>
            <w:szCs w:val="24"/>
            <w:lang w:val="es-ES_tradnl"/>
          </w:rPr>
          <w:t>1.3 Análisis de alternativas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_Toc511982517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12</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18" w:history="1">
        <w:r w:rsidR="00A21EFB" w:rsidRPr="00151F16">
          <w:rPr>
            <w:rStyle w:val="Hipervnculo"/>
            <w:rFonts w:ascii="Arial" w:hAnsi="Arial" w:cs="Arial"/>
            <w:noProof/>
            <w:sz w:val="24"/>
            <w:szCs w:val="24"/>
            <w:lang w:val="es-ES_tradnl"/>
          </w:rPr>
          <w:t>1.4 Inclusión en el Plan Anual Normativo 2018</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_Toc511982518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14</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19" w:history="1">
        <w:r w:rsidR="00A21EFB" w:rsidRPr="00151F16">
          <w:rPr>
            <w:rStyle w:val="Hipervnculo"/>
            <w:rFonts w:ascii="Arial" w:hAnsi="Arial" w:cs="Arial"/>
            <w:noProof/>
            <w:sz w:val="24"/>
            <w:szCs w:val="24"/>
          </w:rPr>
          <w:t>2. CONTENIDO Y ANÁLISIS JURÍDICO</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_Toc511982519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14</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0" w:history="1">
        <w:r w:rsidR="00A21EFB" w:rsidRPr="00151F16">
          <w:rPr>
            <w:rStyle w:val="Hipervnculo"/>
            <w:rFonts w:ascii="Arial" w:hAnsi="Arial" w:cs="Arial"/>
            <w:noProof/>
            <w:sz w:val="24"/>
            <w:szCs w:val="24"/>
            <w:lang w:val="es-ES_tradnl"/>
          </w:rPr>
          <w:t>2.1 Novedades introducidas por la propuesta de norma</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_Toc511982520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14</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1" w:history="1">
        <w:r w:rsidR="00A21EFB" w:rsidRPr="00151F16">
          <w:rPr>
            <w:rStyle w:val="Hipervnculo"/>
            <w:rFonts w:ascii="Arial" w:hAnsi="Arial" w:cs="Arial"/>
            <w:noProof/>
            <w:sz w:val="24"/>
            <w:szCs w:val="24"/>
            <w:lang w:val="es-ES_tradnl"/>
          </w:rPr>
          <w:t>2.2 Entrada en vigor y vigencia de la norma</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_Toc511982521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23</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2" w:history="1">
        <w:r w:rsidR="00A21EFB" w:rsidRPr="00151F16">
          <w:rPr>
            <w:rStyle w:val="Hipervnculo"/>
            <w:rFonts w:ascii="Arial" w:hAnsi="Arial" w:cs="Arial"/>
            <w:noProof/>
            <w:sz w:val="24"/>
            <w:szCs w:val="24"/>
            <w:lang w:val="es-ES_tradnl"/>
          </w:rPr>
          <w:t>2.3 Rango normativo</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_Toc511982522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24</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23" w:history="1">
        <w:r w:rsidR="00A21EFB" w:rsidRPr="00151F16">
          <w:rPr>
            <w:rStyle w:val="Hipervnculo"/>
            <w:rFonts w:ascii="Arial" w:hAnsi="Arial" w:cs="Arial"/>
            <w:noProof/>
            <w:sz w:val="24"/>
            <w:szCs w:val="24"/>
          </w:rPr>
          <w:t>3. ANÁLISIS DE IMPACTOS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_Toc511982523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24</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4" w:history="1">
        <w:r w:rsidR="00A21EFB" w:rsidRPr="00151F16">
          <w:rPr>
            <w:rStyle w:val="Hipervnculo"/>
            <w:rFonts w:ascii="Arial" w:hAnsi="Arial" w:cs="Arial"/>
            <w:noProof/>
            <w:sz w:val="24"/>
            <w:szCs w:val="24"/>
          </w:rPr>
          <w:t>3.1 Adecuación al orden de distribución de competencias.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_Toc511982524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24</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5" w:history="1">
        <w:r w:rsidR="00A21EFB" w:rsidRPr="00151F16">
          <w:rPr>
            <w:rStyle w:val="Hipervnculo"/>
            <w:rFonts w:ascii="Arial" w:hAnsi="Arial" w:cs="Arial"/>
            <w:noProof/>
            <w:sz w:val="24"/>
            <w:szCs w:val="24"/>
          </w:rPr>
          <w:t>3.2 Impacto económico.</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_Toc511982525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25</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6" w:history="1">
        <w:r w:rsidR="00A21EFB" w:rsidRPr="00151F16">
          <w:rPr>
            <w:rStyle w:val="Hipervnculo"/>
            <w:rFonts w:ascii="Arial" w:hAnsi="Arial" w:cs="Arial"/>
            <w:noProof/>
            <w:sz w:val="24"/>
            <w:szCs w:val="24"/>
          </w:rPr>
          <w:t>3.3 Impacto presupuestario.</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_Toc511982526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28</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7" w:history="1">
        <w:r w:rsidR="00A21EFB" w:rsidRPr="00151F16">
          <w:rPr>
            <w:rStyle w:val="Hipervnculo"/>
            <w:rFonts w:ascii="Arial" w:hAnsi="Arial" w:cs="Arial"/>
            <w:noProof/>
            <w:sz w:val="24"/>
            <w:szCs w:val="24"/>
          </w:rPr>
          <w:t>3.4 Cargas administrativas.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_Toc511982527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28</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8" w:history="1">
        <w:r w:rsidR="00A21EFB" w:rsidRPr="00151F16">
          <w:rPr>
            <w:rStyle w:val="Hipervnculo"/>
            <w:rFonts w:ascii="Arial" w:hAnsi="Arial" w:cs="Arial"/>
            <w:noProof/>
            <w:sz w:val="24"/>
            <w:szCs w:val="24"/>
          </w:rPr>
          <w:t>3.5 Impacto por razón de género.</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_Toc511982528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29</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29" w:history="1">
        <w:r w:rsidR="00A21EFB" w:rsidRPr="00151F16">
          <w:rPr>
            <w:rStyle w:val="Hipervnculo"/>
            <w:rFonts w:ascii="Arial" w:hAnsi="Arial" w:cs="Arial"/>
            <w:noProof/>
            <w:sz w:val="24"/>
            <w:szCs w:val="24"/>
          </w:rPr>
          <w:t>3.6 Otros impactos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_Toc511982529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29</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30" w:history="1">
        <w:r w:rsidR="00A21EFB" w:rsidRPr="00151F16">
          <w:rPr>
            <w:rStyle w:val="Hipervnculo"/>
            <w:rFonts w:ascii="Arial" w:hAnsi="Arial" w:cs="Arial"/>
            <w:noProof/>
            <w:sz w:val="24"/>
            <w:szCs w:val="24"/>
          </w:rPr>
          <w:t>4. DESCRIPCIÓN DE LA TRAMITACIÓN Y CONSULTAS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_Toc511982530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30</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31" w:history="1">
        <w:r w:rsidR="00A21EFB" w:rsidRPr="00151F16">
          <w:rPr>
            <w:rStyle w:val="Hipervnculo"/>
            <w:rFonts w:ascii="Arial" w:hAnsi="Arial" w:cs="Arial"/>
            <w:noProof/>
            <w:sz w:val="24"/>
            <w:szCs w:val="24"/>
          </w:rPr>
          <w:t>4.1 Trámite de consulta pública</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_Toc511982531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30</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32" w:history="1">
        <w:r w:rsidR="00A21EFB" w:rsidRPr="00151F16">
          <w:rPr>
            <w:rStyle w:val="Hipervnculo"/>
            <w:rFonts w:ascii="Arial" w:hAnsi="Arial" w:cs="Arial"/>
            <w:noProof/>
            <w:sz w:val="24"/>
            <w:szCs w:val="24"/>
          </w:rPr>
          <w:t>4.2 Trámite de audiencia e información pública</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_Toc511982532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31</w:t>
        </w:r>
        <w:r w:rsidR="00A21EFB" w:rsidRPr="00151F16">
          <w:rPr>
            <w:rFonts w:ascii="Arial" w:hAnsi="Arial" w:cs="Arial"/>
            <w:noProof/>
            <w:webHidden/>
            <w:sz w:val="24"/>
            <w:szCs w:val="24"/>
          </w:rPr>
          <w:fldChar w:fldCharType="end"/>
        </w:r>
      </w:hyperlink>
    </w:p>
    <w:p w:rsidR="00A21EFB" w:rsidRPr="00151F16" w:rsidRDefault="007310D4">
      <w:pPr>
        <w:pStyle w:val="TDC2"/>
        <w:tabs>
          <w:tab w:val="right" w:leader="dot" w:pos="9062"/>
        </w:tabs>
        <w:rPr>
          <w:rFonts w:ascii="Arial" w:eastAsiaTheme="minorEastAsia" w:hAnsi="Arial" w:cs="Arial"/>
          <w:smallCaps w:val="0"/>
          <w:noProof/>
          <w:sz w:val="24"/>
          <w:szCs w:val="24"/>
          <w:lang w:eastAsia="es-ES"/>
        </w:rPr>
      </w:pPr>
      <w:hyperlink w:anchor="_Toc511982533" w:history="1">
        <w:r w:rsidR="00A21EFB" w:rsidRPr="00151F16">
          <w:rPr>
            <w:rStyle w:val="Hipervnculo"/>
            <w:rFonts w:ascii="Arial" w:hAnsi="Arial" w:cs="Arial"/>
            <w:noProof/>
            <w:sz w:val="24"/>
            <w:szCs w:val="24"/>
          </w:rPr>
          <w:t>4.3 Informes evacuados</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_Toc511982533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32</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34" w:history="1">
        <w:r w:rsidR="00A21EFB" w:rsidRPr="00151F16">
          <w:rPr>
            <w:rStyle w:val="Hipervnculo"/>
            <w:rFonts w:ascii="Arial" w:hAnsi="Arial" w:cs="Arial"/>
            <w:noProof/>
            <w:sz w:val="24"/>
            <w:szCs w:val="24"/>
          </w:rPr>
          <w:t xml:space="preserve">5. EVALUACIÓN </w:t>
        </w:r>
        <w:r w:rsidR="00A21EFB" w:rsidRPr="00151F16">
          <w:rPr>
            <w:rStyle w:val="Hipervnculo"/>
            <w:rFonts w:ascii="Arial" w:hAnsi="Arial" w:cs="Arial"/>
            <w:i/>
            <w:noProof/>
            <w:sz w:val="24"/>
            <w:szCs w:val="24"/>
          </w:rPr>
          <w:t>EX POST</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_Toc511982534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32</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35" w:history="1">
        <w:r w:rsidR="00A21EFB" w:rsidRPr="00151F16">
          <w:rPr>
            <w:rStyle w:val="Hipervnculo"/>
            <w:rFonts w:ascii="Arial" w:hAnsi="Arial" w:cs="Arial"/>
            <w:noProof/>
            <w:sz w:val="24"/>
            <w:szCs w:val="24"/>
          </w:rPr>
          <w:t>ANEXO I</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_Toc511982535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33</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36" w:history="1">
        <w:r w:rsidR="00A21EFB" w:rsidRPr="00151F16">
          <w:rPr>
            <w:rStyle w:val="Hipervnculo"/>
            <w:rFonts w:ascii="Arial" w:hAnsi="Arial" w:cs="Arial"/>
            <w:noProof/>
            <w:sz w:val="24"/>
            <w:szCs w:val="24"/>
          </w:rPr>
          <w:t>ANEXO II</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_Toc511982536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36</w:t>
        </w:r>
        <w:r w:rsidR="00A21EFB" w:rsidRPr="00151F16">
          <w:rPr>
            <w:rFonts w:ascii="Arial" w:hAnsi="Arial" w:cs="Arial"/>
            <w:noProof/>
            <w:webHidden/>
            <w:sz w:val="24"/>
            <w:szCs w:val="24"/>
          </w:rPr>
          <w:fldChar w:fldCharType="end"/>
        </w:r>
      </w:hyperlink>
    </w:p>
    <w:p w:rsidR="00A21EFB" w:rsidRPr="00151F16" w:rsidRDefault="007310D4">
      <w:pPr>
        <w:pStyle w:val="TDC1"/>
        <w:tabs>
          <w:tab w:val="right" w:leader="dot" w:pos="9062"/>
        </w:tabs>
        <w:rPr>
          <w:rFonts w:ascii="Arial" w:eastAsiaTheme="minorEastAsia" w:hAnsi="Arial" w:cs="Arial"/>
          <w:b w:val="0"/>
          <w:bCs w:val="0"/>
          <w:caps w:val="0"/>
          <w:noProof/>
          <w:sz w:val="24"/>
          <w:szCs w:val="24"/>
          <w:lang w:eastAsia="es-ES"/>
        </w:rPr>
      </w:pPr>
      <w:hyperlink w:anchor="_Toc511982537" w:history="1">
        <w:r w:rsidR="00A21EFB" w:rsidRPr="00151F16">
          <w:rPr>
            <w:rStyle w:val="Hipervnculo"/>
            <w:rFonts w:ascii="Arial" w:hAnsi="Arial" w:cs="Arial"/>
            <w:noProof/>
            <w:sz w:val="24"/>
            <w:szCs w:val="24"/>
          </w:rPr>
          <w:t>ANEXO III</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_Toc511982537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68</w:t>
        </w:r>
        <w:r w:rsidR="00A21EFB" w:rsidRPr="00151F16">
          <w:rPr>
            <w:rFonts w:ascii="Arial" w:hAnsi="Arial" w:cs="Arial"/>
            <w:noProof/>
            <w:webHidden/>
            <w:sz w:val="24"/>
            <w:szCs w:val="24"/>
          </w:rPr>
          <w:fldChar w:fldCharType="end"/>
        </w:r>
      </w:hyperlink>
    </w:p>
    <w:p w:rsidR="00A21EFB" w:rsidRDefault="007310D4">
      <w:pPr>
        <w:pStyle w:val="TDC1"/>
        <w:tabs>
          <w:tab w:val="right" w:leader="dot" w:pos="9062"/>
        </w:tabs>
        <w:rPr>
          <w:rFonts w:ascii="Arial" w:hAnsi="Arial" w:cs="Arial"/>
          <w:noProof/>
          <w:sz w:val="24"/>
          <w:szCs w:val="24"/>
        </w:rPr>
      </w:pPr>
      <w:hyperlink w:anchor="_Toc511982538" w:history="1">
        <w:r w:rsidR="00A21EFB" w:rsidRPr="00151F16">
          <w:rPr>
            <w:rStyle w:val="Hipervnculo"/>
            <w:rFonts w:ascii="Arial" w:hAnsi="Arial" w:cs="Arial"/>
            <w:noProof/>
            <w:sz w:val="24"/>
            <w:szCs w:val="24"/>
          </w:rPr>
          <w:t>ANEXO IV</w:t>
        </w:r>
        <w:r w:rsidR="00A21EFB" w:rsidRPr="00151F16">
          <w:rPr>
            <w:rFonts w:ascii="Arial" w:hAnsi="Arial" w:cs="Arial"/>
            <w:noProof/>
            <w:webHidden/>
            <w:sz w:val="24"/>
            <w:szCs w:val="24"/>
          </w:rPr>
          <w:tab/>
        </w:r>
        <w:r w:rsidR="00A21EFB" w:rsidRPr="00151F16">
          <w:rPr>
            <w:rFonts w:ascii="Arial" w:hAnsi="Arial" w:cs="Arial"/>
            <w:noProof/>
            <w:webHidden/>
            <w:sz w:val="24"/>
            <w:szCs w:val="24"/>
          </w:rPr>
          <w:fldChar w:fldCharType="begin"/>
        </w:r>
        <w:r w:rsidR="00A21EFB" w:rsidRPr="00151F16">
          <w:rPr>
            <w:rFonts w:ascii="Arial" w:hAnsi="Arial" w:cs="Arial"/>
            <w:noProof/>
            <w:webHidden/>
            <w:sz w:val="24"/>
            <w:szCs w:val="24"/>
          </w:rPr>
          <w:instrText xml:space="preserve"> PAGEREF _Toc511982538 \h </w:instrText>
        </w:r>
        <w:r w:rsidR="00A21EFB" w:rsidRPr="00151F16">
          <w:rPr>
            <w:rFonts w:ascii="Arial" w:hAnsi="Arial" w:cs="Arial"/>
            <w:noProof/>
            <w:webHidden/>
            <w:sz w:val="24"/>
            <w:szCs w:val="24"/>
          </w:rPr>
        </w:r>
        <w:r w:rsidR="00A21EFB" w:rsidRPr="00151F16">
          <w:rPr>
            <w:rFonts w:ascii="Arial" w:hAnsi="Arial" w:cs="Arial"/>
            <w:noProof/>
            <w:webHidden/>
            <w:sz w:val="24"/>
            <w:szCs w:val="24"/>
          </w:rPr>
          <w:fldChar w:fldCharType="separate"/>
        </w:r>
        <w:r w:rsidR="002D4BD6">
          <w:rPr>
            <w:rFonts w:ascii="Arial" w:hAnsi="Arial" w:cs="Arial"/>
            <w:noProof/>
            <w:webHidden/>
            <w:sz w:val="24"/>
            <w:szCs w:val="24"/>
          </w:rPr>
          <w:t>89</w:t>
        </w:r>
        <w:r w:rsidR="00A21EFB" w:rsidRPr="00151F16">
          <w:rPr>
            <w:rFonts w:ascii="Arial" w:hAnsi="Arial" w:cs="Arial"/>
            <w:noProof/>
            <w:webHidden/>
            <w:sz w:val="24"/>
            <w:szCs w:val="24"/>
          </w:rPr>
          <w:fldChar w:fldCharType="end"/>
        </w:r>
      </w:hyperlink>
    </w:p>
    <w:p w:rsidR="00EF2032" w:rsidRDefault="00EF2032" w:rsidP="00EF2032">
      <w:pPr>
        <w:rPr>
          <w:noProof/>
        </w:rPr>
        <w:sectPr w:rsidR="00EF2032" w:rsidSect="00EF2032">
          <w:footerReference w:type="default" r:id="rId11"/>
          <w:pgSz w:w="11906" w:h="16838"/>
          <w:pgMar w:top="1417" w:right="1133" w:bottom="1417" w:left="1701" w:header="708" w:footer="708" w:gutter="0"/>
          <w:cols w:space="720"/>
        </w:sectPr>
      </w:pPr>
      <w:r>
        <w:fldChar w:fldCharType="begin"/>
      </w:r>
      <w:r>
        <w:instrText xml:space="preserve"> INDEX \e "</w:instrText>
      </w:r>
      <w:r>
        <w:tab/>
        <w:instrText xml:space="preserve">" \c "1" \z "3082" </w:instrText>
      </w:r>
      <w:r>
        <w:fldChar w:fldCharType="separate"/>
      </w:r>
    </w:p>
    <w:p w:rsidR="00EF2032" w:rsidRPr="00B11129" w:rsidRDefault="00EF2032" w:rsidP="00614F2F">
      <w:pPr>
        <w:pStyle w:val="TDC1"/>
        <w:tabs>
          <w:tab w:val="right" w:leader="dot" w:pos="9062"/>
        </w:tabs>
      </w:pPr>
      <w:r w:rsidRPr="00FF384C">
        <w:rPr>
          <w:rStyle w:val="Hipervnculo"/>
          <w:rFonts w:ascii="Arial" w:hAnsi="Arial" w:cs="Arial"/>
          <w:noProof/>
          <w:color w:val="auto"/>
          <w:sz w:val="24"/>
          <w:szCs w:val="24"/>
        </w:rPr>
        <w:lastRenderedPageBreak/>
        <w:t>ANEXO V</w:t>
      </w:r>
      <w:r w:rsidRPr="00B11129">
        <w:rPr>
          <w:noProof/>
        </w:rPr>
        <w:tab/>
      </w:r>
      <w:r w:rsidRPr="007244C4">
        <w:rPr>
          <w:rFonts w:ascii="Arial" w:hAnsi="Arial" w:cs="Arial"/>
          <w:noProof/>
          <w:sz w:val="24"/>
          <w:szCs w:val="24"/>
        </w:rPr>
        <w:t>93</w:t>
      </w:r>
    </w:p>
    <w:p w:rsidR="00EF2032" w:rsidRPr="00614F2F" w:rsidRDefault="00EF2032" w:rsidP="00EF2032">
      <w:pPr>
        <w:rPr>
          <w:rFonts w:ascii="Arial" w:hAnsi="Arial" w:cs="Arial"/>
          <w:b/>
          <w:bCs/>
          <w:caps/>
          <w:noProof/>
          <w:sz w:val="24"/>
          <w:szCs w:val="24"/>
        </w:rPr>
        <w:sectPr w:rsidR="00EF2032" w:rsidRPr="00614F2F" w:rsidSect="00EF2032">
          <w:type w:val="continuous"/>
          <w:pgSz w:w="11906" w:h="16838"/>
          <w:pgMar w:top="1417" w:right="1133" w:bottom="1417" w:left="1701" w:header="708" w:footer="708" w:gutter="0"/>
          <w:cols w:space="720"/>
        </w:sectPr>
      </w:pPr>
    </w:p>
    <w:p w:rsidR="00EF2032" w:rsidRPr="00614F2F" w:rsidRDefault="00EF2032" w:rsidP="00614F2F">
      <w:pPr>
        <w:rPr>
          <w:b/>
          <w:bCs/>
          <w:caps/>
        </w:rPr>
      </w:pPr>
      <w:r>
        <w:lastRenderedPageBreak/>
        <w:fldChar w:fldCharType="end"/>
      </w:r>
    </w:p>
    <w:p w:rsidR="00C347EB" w:rsidRPr="00806271" w:rsidRDefault="00C7606A" w:rsidP="00C347EB">
      <w:pPr>
        <w:rPr>
          <w:rFonts w:ascii="Arial" w:hAnsi="Arial" w:cs="Arial"/>
          <w:b/>
          <w:sz w:val="24"/>
          <w:szCs w:val="24"/>
          <w:lang w:val="es-ES_tradnl" w:eastAsia="es-ES_tradnl"/>
        </w:rPr>
      </w:pPr>
      <w:r w:rsidRPr="009209F3">
        <w:rPr>
          <w:rFonts w:ascii="Arial" w:hAnsi="Arial" w:cs="Arial"/>
          <w:sz w:val="24"/>
          <w:szCs w:val="24"/>
          <w:lang w:val="es-ES_tradnl" w:eastAsia="es-ES_tradnl"/>
        </w:rPr>
        <w:fldChar w:fldCharType="end"/>
      </w:r>
    </w:p>
    <w:p w:rsidR="000B4C80" w:rsidRPr="007E652E" w:rsidRDefault="000B4C80" w:rsidP="006A508E">
      <w:pPr>
        <w:spacing w:before="240" w:after="240"/>
        <w:rPr>
          <w:rFonts w:ascii="Arial" w:hAnsi="Arial" w:cs="Arial"/>
          <w:sz w:val="24"/>
          <w:szCs w:val="24"/>
          <w:lang w:val="es-ES_tradnl" w:eastAsia="es-ES_tradnl"/>
        </w:rPr>
      </w:pPr>
    </w:p>
    <w:p w:rsidR="00F7415C" w:rsidRPr="007E652E" w:rsidRDefault="00F7415C" w:rsidP="006A508E">
      <w:pPr>
        <w:tabs>
          <w:tab w:val="left" w:pos="708"/>
          <w:tab w:val="center" w:pos="4252"/>
          <w:tab w:val="right" w:pos="8504"/>
        </w:tabs>
        <w:spacing w:before="240" w:after="240" w:line="360" w:lineRule="auto"/>
        <w:jc w:val="both"/>
        <w:rPr>
          <w:rFonts w:ascii="Arial" w:eastAsia="Times New Roman" w:hAnsi="Arial" w:cs="Arial"/>
          <w:b/>
          <w:sz w:val="24"/>
          <w:szCs w:val="24"/>
          <w:lang w:eastAsia="es-ES"/>
        </w:rPr>
      </w:pPr>
    </w:p>
    <w:p w:rsidR="00F7415C" w:rsidRPr="007E652E" w:rsidRDefault="00F7415C" w:rsidP="006A508E">
      <w:pPr>
        <w:spacing w:before="240" w:after="240" w:line="360" w:lineRule="auto"/>
        <w:jc w:val="both"/>
        <w:rPr>
          <w:rFonts w:ascii="Arial" w:eastAsia="Times New Roman" w:hAnsi="Arial" w:cs="Arial"/>
          <w:b/>
          <w:sz w:val="24"/>
          <w:szCs w:val="24"/>
          <w:lang w:eastAsia="es-ES"/>
        </w:rPr>
      </w:pPr>
    </w:p>
    <w:p w:rsidR="000B4C80" w:rsidRPr="007E652E" w:rsidRDefault="000B4C80" w:rsidP="006A508E">
      <w:pPr>
        <w:spacing w:before="240" w:after="240"/>
        <w:rPr>
          <w:rFonts w:ascii="Arial" w:eastAsia="Times New Roman" w:hAnsi="Arial" w:cs="Arial"/>
          <w:b/>
          <w:sz w:val="24"/>
          <w:szCs w:val="24"/>
          <w:lang w:eastAsia="es-ES"/>
        </w:rPr>
      </w:pPr>
      <w:r w:rsidRPr="007E652E">
        <w:rPr>
          <w:rFonts w:ascii="Arial" w:eastAsia="Times New Roman" w:hAnsi="Arial" w:cs="Arial"/>
          <w:b/>
          <w:sz w:val="24"/>
          <w:szCs w:val="24"/>
          <w:lang w:eastAsia="es-ES"/>
        </w:rPr>
        <w:br w:type="page"/>
      </w:r>
    </w:p>
    <w:p w:rsidR="00F7415C" w:rsidRPr="007E652E" w:rsidRDefault="00F7415C" w:rsidP="006A508E">
      <w:pPr>
        <w:spacing w:before="240" w:after="240" w:line="360" w:lineRule="auto"/>
        <w:jc w:val="center"/>
        <w:rPr>
          <w:rFonts w:ascii="Arial" w:eastAsia="Times New Roman" w:hAnsi="Arial" w:cs="Arial"/>
          <w:caps/>
          <w:sz w:val="24"/>
          <w:szCs w:val="24"/>
          <w:lang w:eastAsia="es-ES"/>
        </w:rPr>
      </w:pPr>
      <w:r w:rsidRPr="007E652E">
        <w:rPr>
          <w:rFonts w:ascii="Arial" w:eastAsia="Times New Roman" w:hAnsi="Arial" w:cs="Arial"/>
          <w:b/>
          <w:sz w:val="24"/>
          <w:szCs w:val="24"/>
          <w:lang w:eastAsia="es-ES"/>
        </w:rPr>
        <w:lastRenderedPageBreak/>
        <w:t xml:space="preserve">MEMORIA DE ANÁLISIS DE IMPACTO NORMATIVO DEL </w:t>
      </w:r>
      <w:r w:rsidR="003311F1" w:rsidRPr="007E652E">
        <w:rPr>
          <w:rFonts w:ascii="Arial" w:eastAsia="Times New Roman" w:hAnsi="Arial" w:cs="Arial"/>
          <w:b/>
          <w:sz w:val="24"/>
          <w:szCs w:val="24"/>
          <w:lang w:eastAsia="es-ES"/>
        </w:rPr>
        <w:t>ANTEPROYECTO DE LEY DE SECRETOS EMPRESARIALES</w:t>
      </w:r>
    </w:p>
    <w:p w:rsidR="003B1E2C" w:rsidRPr="007E652E" w:rsidRDefault="00B00E47" w:rsidP="006A508E">
      <w:pPr>
        <w:tabs>
          <w:tab w:val="left" w:pos="1035"/>
          <w:tab w:val="center" w:pos="4536"/>
        </w:tabs>
        <w:spacing w:before="240" w:after="240" w:line="360" w:lineRule="auto"/>
        <w:rPr>
          <w:rFonts w:ascii="Arial" w:eastAsia="Times New Roman" w:hAnsi="Arial" w:cs="Arial"/>
          <w:b/>
          <w:sz w:val="24"/>
          <w:szCs w:val="24"/>
          <w:lang w:eastAsia="es-ES"/>
        </w:rPr>
      </w:pPr>
      <w:r w:rsidRPr="007E652E">
        <w:rPr>
          <w:rFonts w:ascii="Arial" w:eastAsia="Times New Roman" w:hAnsi="Arial" w:cs="Arial"/>
          <w:b/>
          <w:sz w:val="24"/>
          <w:szCs w:val="24"/>
          <w:lang w:eastAsia="es-ES"/>
        </w:rPr>
        <w:tab/>
      </w:r>
      <w:r w:rsidRPr="007E652E">
        <w:rPr>
          <w:rFonts w:ascii="Arial" w:eastAsia="Times New Roman" w:hAnsi="Arial" w:cs="Arial"/>
          <w:b/>
          <w:sz w:val="24"/>
          <w:szCs w:val="24"/>
          <w:lang w:eastAsia="es-ES"/>
        </w:rPr>
        <w:tab/>
      </w:r>
    </w:p>
    <w:p w:rsidR="00F7415C" w:rsidRPr="007E652E" w:rsidRDefault="00154F0D" w:rsidP="00DB4BE4">
      <w:pPr>
        <w:pStyle w:val="Ttulo1"/>
        <w:rPr>
          <w:szCs w:val="24"/>
          <w:u w:val="single"/>
        </w:rPr>
      </w:pPr>
      <w:bookmarkStart w:id="1" w:name="_Toc511982513"/>
      <w:r w:rsidRPr="007E652E">
        <w:rPr>
          <w:szCs w:val="24"/>
          <w:u w:val="single"/>
        </w:rPr>
        <w:t xml:space="preserve">0. </w:t>
      </w:r>
      <w:r w:rsidR="00F7415C" w:rsidRPr="007E652E">
        <w:rPr>
          <w:szCs w:val="24"/>
          <w:u w:val="single"/>
        </w:rPr>
        <w:t>FICHA DEL RESUMEN EJECUTIVO</w:t>
      </w:r>
      <w:bookmarkEnd w:id="1"/>
    </w:p>
    <w:p w:rsidR="00F7415C" w:rsidRPr="007E652E" w:rsidRDefault="00F7415C" w:rsidP="006A508E">
      <w:pPr>
        <w:spacing w:before="240" w:after="240" w:line="360" w:lineRule="auto"/>
        <w:jc w:val="center"/>
        <w:rPr>
          <w:rFonts w:ascii="Arial" w:eastAsia="Times New Roman" w:hAnsi="Arial" w:cs="Arial"/>
          <w:b/>
          <w:sz w:val="24"/>
          <w:szCs w:val="24"/>
          <w:lang w:eastAsia="es-ES"/>
        </w:rPr>
      </w:pPr>
    </w:p>
    <w:tbl>
      <w:tblPr>
        <w:tblW w:w="9741" w:type="dxa"/>
        <w:tblInd w:w="-43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67"/>
        <w:gridCol w:w="180"/>
        <w:gridCol w:w="2538"/>
        <w:gridCol w:w="709"/>
        <w:gridCol w:w="425"/>
        <w:gridCol w:w="2822"/>
      </w:tblGrid>
      <w:tr w:rsidR="007E652E" w:rsidRPr="007E652E" w:rsidTr="00713779">
        <w:trPr>
          <w:trHeight w:val="657"/>
        </w:trPr>
        <w:tc>
          <w:tcPr>
            <w:tcW w:w="3067" w:type="dxa"/>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800FEB">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Mini</w:t>
            </w:r>
            <w:r w:rsidR="003B1E2C" w:rsidRPr="007E652E">
              <w:rPr>
                <w:rFonts w:ascii="Arial" w:eastAsia="Times New Roman" w:hAnsi="Arial" w:cs="Arial"/>
                <w:b/>
                <w:sz w:val="24"/>
                <w:szCs w:val="24"/>
              </w:rPr>
              <w:t>sterio</w:t>
            </w:r>
            <w:r w:rsidR="00864096">
              <w:rPr>
                <w:rFonts w:ascii="Arial" w:eastAsia="Times New Roman" w:hAnsi="Arial" w:cs="Arial"/>
                <w:b/>
                <w:sz w:val="24"/>
                <w:szCs w:val="24"/>
              </w:rPr>
              <w:t>s</w:t>
            </w:r>
            <w:r w:rsidR="003B1E2C" w:rsidRPr="007E652E">
              <w:rPr>
                <w:rFonts w:ascii="Arial" w:eastAsia="Times New Roman" w:hAnsi="Arial" w:cs="Arial"/>
                <w:b/>
                <w:sz w:val="24"/>
                <w:szCs w:val="24"/>
              </w:rPr>
              <w:t xml:space="preserve"> p</w:t>
            </w:r>
            <w:r w:rsidRPr="007E652E">
              <w:rPr>
                <w:rFonts w:ascii="Arial" w:eastAsia="Times New Roman" w:hAnsi="Arial" w:cs="Arial"/>
                <w:b/>
                <w:sz w:val="24"/>
                <w:szCs w:val="24"/>
              </w:rPr>
              <w:t>roponente</w:t>
            </w:r>
            <w:r w:rsidR="00864096">
              <w:rPr>
                <w:rFonts w:ascii="Arial" w:eastAsia="Times New Roman" w:hAnsi="Arial" w:cs="Arial"/>
                <w:b/>
                <w:sz w:val="24"/>
                <w:szCs w:val="24"/>
              </w:rPr>
              <w:t>s</w:t>
            </w:r>
          </w:p>
        </w:tc>
        <w:tc>
          <w:tcPr>
            <w:tcW w:w="2718" w:type="dxa"/>
            <w:gridSpan w:val="2"/>
            <w:tcBorders>
              <w:top w:val="single" w:sz="12" w:space="0" w:color="auto"/>
              <w:left w:val="single" w:sz="4" w:space="0" w:color="auto"/>
              <w:bottom w:val="single" w:sz="4" w:space="0" w:color="auto"/>
              <w:right w:val="single" w:sz="12" w:space="0" w:color="auto"/>
            </w:tcBorders>
            <w:shd w:val="clear" w:color="auto" w:fill="FFCC99"/>
          </w:tcPr>
          <w:p w:rsidR="00F7415C" w:rsidRPr="007E652E" w:rsidRDefault="00DF6AA1" w:rsidP="006A508E">
            <w:pPr>
              <w:spacing w:before="240" w:after="240" w:line="360" w:lineRule="auto"/>
              <w:rPr>
                <w:rFonts w:ascii="Arial" w:eastAsia="Times New Roman" w:hAnsi="Arial" w:cs="Arial"/>
                <w:sz w:val="24"/>
                <w:szCs w:val="24"/>
              </w:rPr>
            </w:pPr>
            <w:r w:rsidRPr="007E652E">
              <w:rPr>
                <w:rFonts w:ascii="Arial" w:eastAsia="Times New Roman" w:hAnsi="Arial" w:cs="Arial"/>
                <w:sz w:val="24"/>
                <w:szCs w:val="24"/>
              </w:rPr>
              <w:t>Ministerio de Justicia</w:t>
            </w:r>
            <w:r w:rsidR="00864096">
              <w:rPr>
                <w:rFonts w:ascii="Arial" w:eastAsia="Times New Roman" w:hAnsi="Arial" w:cs="Arial"/>
                <w:sz w:val="24"/>
                <w:szCs w:val="24"/>
              </w:rPr>
              <w:t xml:space="preserve"> y Ministerio de Energía, Turismo y Agenda Digital</w:t>
            </w:r>
            <w:r w:rsidR="00F7415C" w:rsidRPr="007E652E">
              <w:rPr>
                <w:rFonts w:ascii="Arial" w:eastAsia="Times New Roman" w:hAnsi="Arial" w:cs="Arial"/>
                <w:sz w:val="24"/>
                <w:szCs w:val="24"/>
              </w:rPr>
              <w:t xml:space="preserve"> </w:t>
            </w:r>
          </w:p>
          <w:p w:rsidR="00F7415C" w:rsidRPr="007E652E" w:rsidRDefault="00F7415C" w:rsidP="006A508E">
            <w:pPr>
              <w:spacing w:before="240" w:after="240" w:line="360" w:lineRule="auto"/>
              <w:ind w:firstLine="573"/>
              <w:jc w:val="both"/>
              <w:rPr>
                <w:rFonts w:ascii="Arial" w:eastAsia="Times New Roman" w:hAnsi="Arial" w:cs="Arial"/>
                <w:sz w:val="24"/>
                <w:szCs w:val="24"/>
              </w:rPr>
            </w:pPr>
          </w:p>
        </w:tc>
        <w:tc>
          <w:tcPr>
            <w:tcW w:w="1134" w:type="dxa"/>
            <w:gridSpan w:val="2"/>
            <w:tcBorders>
              <w:top w:val="single" w:sz="12" w:space="0" w:color="auto"/>
              <w:left w:val="single" w:sz="12" w:space="0" w:color="auto"/>
              <w:bottom w:val="single" w:sz="4" w:space="0" w:color="auto"/>
              <w:right w:val="single" w:sz="4" w:space="0" w:color="auto"/>
            </w:tcBorders>
            <w:shd w:val="clear" w:color="auto" w:fill="FFFFCC"/>
          </w:tcPr>
          <w:p w:rsidR="00F7415C" w:rsidRPr="007E652E" w:rsidRDefault="00F7415C" w:rsidP="003B1E2C">
            <w:pPr>
              <w:spacing w:before="240" w:after="240" w:line="360" w:lineRule="auto"/>
              <w:jc w:val="both"/>
              <w:rPr>
                <w:rFonts w:ascii="Arial" w:eastAsia="Times New Roman" w:hAnsi="Arial" w:cs="Arial"/>
                <w:b/>
                <w:sz w:val="24"/>
                <w:szCs w:val="24"/>
              </w:rPr>
            </w:pPr>
            <w:r w:rsidRPr="007E652E">
              <w:rPr>
                <w:rFonts w:ascii="Arial" w:eastAsia="Times New Roman" w:hAnsi="Arial" w:cs="Arial"/>
                <w:b/>
                <w:sz w:val="24"/>
                <w:szCs w:val="24"/>
              </w:rPr>
              <w:t>Fec</w:t>
            </w:r>
            <w:r w:rsidR="003B1E2C" w:rsidRPr="007E652E">
              <w:rPr>
                <w:rFonts w:ascii="Arial" w:eastAsia="Times New Roman" w:hAnsi="Arial" w:cs="Arial"/>
                <w:b/>
                <w:sz w:val="24"/>
                <w:szCs w:val="24"/>
              </w:rPr>
              <w:t>h</w:t>
            </w:r>
            <w:r w:rsidRPr="007E652E">
              <w:rPr>
                <w:rFonts w:ascii="Arial" w:eastAsia="Times New Roman" w:hAnsi="Arial" w:cs="Arial"/>
                <w:b/>
                <w:sz w:val="24"/>
                <w:szCs w:val="24"/>
              </w:rPr>
              <w:t>a</w:t>
            </w:r>
          </w:p>
        </w:tc>
        <w:tc>
          <w:tcPr>
            <w:tcW w:w="2822" w:type="dxa"/>
            <w:tcBorders>
              <w:top w:val="single" w:sz="12" w:space="0" w:color="auto"/>
              <w:left w:val="single" w:sz="4" w:space="0" w:color="auto"/>
              <w:bottom w:val="single" w:sz="4" w:space="0" w:color="auto"/>
              <w:right w:val="single" w:sz="12" w:space="0" w:color="auto"/>
            </w:tcBorders>
            <w:shd w:val="clear" w:color="auto" w:fill="FFCC99"/>
          </w:tcPr>
          <w:p w:rsidR="00F7415C" w:rsidRPr="007E652E" w:rsidRDefault="006412BE" w:rsidP="002D4BD6">
            <w:pPr>
              <w:spacing w:before="240" w:after="240" w:line="360" w:lineRule="auto"/>
              <w:jc w:val="center"/>
              <w:rPr>
                <w:rFonts w:ascii="Arial" w:eastAsia="Times New Roman" w:hAnsi="Arial" w:cs="Arial"/>
                <w:sz w:val="24"/>
                <w:szCs w:val="24"/>
              </w:rPr>
            </w:pPr>
            <w:r>
              <w:rPr>
                <w:rFonts w:ascii="Arial" w:eastAsia="Times New Roman" w:hAnsi="Arial" w:cs="Arial"/>
                <w:sz w:val="24"/>
                <w:szCs w:val="24"/>
              </w:rPr>
              <w:t>20</w:t>
            </w:r>
            <w:r w:rsidRPr="007E652E">
              <w:rPr>
                <w:rFonts w:ascii="Arial" w:eastAsia="Times New Roman" w:hAnsi="Arial" w:cs="Arial"/>
                <w:sz w:val="24"/>
                <w:szCs w:val="24"/>
              </w:rPr>
              <w:t xml:space="preserve"> </w:t>
            </w:r>
            <w:r w:rsidR="000A5CA3" w:rsidRPr="007E652E">
              <w:rPr>
                <w:rFonts w:ascii="Arial" w:eastAsia="Times New Roman" w:hAnsi="Arial" w:cs="Arial"/>
                <w:sz w:val="24"/>
                <w:szCs w:val="24"/>
              </w:rPr>
              <w:t>de</w:t>
            </w:r>
            <w:r w:rsidR="008711D2" w:rsidRPr="007E652E">
              <w:rPr>
                <w:rFonts w:ascii="Arial" w:eastAsia="Times New Roman" w:hAnsi="Arial" w:cs="Arial"/>
                <w:sz w:val="24"/>
                <w:szCs w:val="24"/>
              </w:rPr>
              <w:t xml:space="preserve"> </w:t>
            </w:r>
            <w:r w:rsidR="002D4BD6">
              <w:rPr>
                <w:rFonts w:ascii="Arial" w:eastAsia="Times New Roman" w:hAnsi="Arial" w:cs="Arial"/>
                <w:sz w:val="24"/>
                <w:szCs w:val="24"/>
              </w:rPr>
              <w:t>mayo</w:t>
            </w:r>
            <w:r w:rsidR="002D4BD6" w:rsidRPr="007E652E">
              <w:rPr>
                <w:rFonts w:ascii="Arial" w:eastAsia="Times New Roman" w:hAnsi="Arial" w:cs="Arial"/>
                <w:sz w:val="24"/>
                <w:szCs w:val="24"/>
              </w:rPr>
              <w:t xml:space="preserve"> </w:t>
            </w:r>
            <w:r w:rsidR="003B1E2C" w:rsidRPr="007E652E">
              <w:rPr>
                <w:rFonts w:ascii="Arial" w:eastAsia="Times New Roman" w:hAnsi="Arial" w:cs="Arial"/>
                <w:sz w:val="24"/>
                <w:szCs w:val="24"/>
              </w:rPr>
              <w:t>de</w:t>
            </w:r>
            <w:r w:rsidR="00DB0A08" w:rsidRPr="007E652E">
              <w:rPr>
                <w:rFonts w:ascii="Arial" w:eastAsia="Times New Roman" w:hAnsi="Arial" w:cs="Arial"/>
                <w:sz w:val="24"/>
                <w:szCs w:val="24"/>
              </w:rPr>
              <w:t xml:space="preserve"> </w:t>
            </w:r>
            <w:r w:rsidR="003311F1" w:rsidRPr="007E652E">
              <w:rPr>
                <w:rFonts w:ascii="Arial" w:eastAsia="Times New Roman" w:hAnsi="Arial" w:cs="Arial"/>
                <w:sz w:val="24"/>
                <w:szCs w:val="24"/>
              </w:rPr>
              <w:t>2018</w:t>
            </w:r>
          </w:p>
        </w:tc>
      </w:tr>
      <w:tr w:rsidR="007E652E" w:rsidRPr="007E652E" w:rsidTr="00B605EE">
        <w:trPr>
          <w:trHeight w:val="142"/>
        </w:trPr>
        <w:tc>
          <w:tcPr>
            <w:tcW w:w="3067" w:type="dxa"/>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800FEB">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Título de la norma</w:t>
            </w:r>
          </w:p>
        </w:tc>
        <w:tc>
          <w:tcPr>
            <w:tcW w:w="6674" w:type="dxa"/>
            <w:gridSpan w:val="5"/>
            <w:tcBorders>
              <w:top w:val="single" w:sz="4" w:space="0" w:color="auto"/>
              <w:left w:val="single" w:sz="4" w:space="0" w:color="auto"/>
              <w:bottom w:val="single" w:sz="4" w:space="0" w:color="auto"/>
              <w:right w:val="single" w:sz="12" w:space="0" w:color="auto"/>
            </w:tcBorders>
            <w:shd w:val="clear" w:color="auto" w:fill="FFCC99"/>
          </w:tcPr>
          <w:p w:rsidR="00F7415C" w:rsidRPr="007E652E" w:rsidRDefault="003311F1" w:rsidP="00847AED">
            <w:pPr>
              <w:spacing w:before="240" w:after="240" w:line="360" w:lineRule="auto"/>
              <w:jc w:val="both"/>
              <w:rPr>
                <w:rFonts w:ascii="Arial" w:eastAsia="Times New Roman" w:hAnsi="Arial" w:cs="Arial"/>
                <w:b/>
                <w:sz w:val="24"/>
                <w:szCs w:val="24"/>
              </w:rPr>
            </w:pPr>
            <w:r w:rsidRPr="007E652E">
              <w:rPr>
                <w:rFonts w:ascii="Arial" w:eastAsia="Times New Roman" w:hAnsi="Arial" w:cs="Arial"/>
                <w:b/>
                <w:sz w:val="24"/>
                <w:szCs w:val="24"/>
              </w:rPr>
              <w:t>ANTEPROYECTO DE LEY DE SECRETOS EMPRESARIALES</w:t>
            </w:r>
          </w:p>
        </w:tc>
      </w:tr>
      <w:tr w:rsidR="007E652E" w:rsidRPr="007E652E" w:rsidTr="003B1E2C">
        <w:trPr>
          <w:trHeight w:val="875"/>
        </w:trPr>
        <w:tc>
          <w:tcPr>
            <w:tcW w:w="3067" w:type="dxa"/>
            <w:tcBorders>
              <w:top w:val="single" w:sz="4" w:space="0" w:color="auto"/>
              <w:left w:val="single" w:sz="12" w:space="0" w:color="auto"/>
              <w:bottom w:val="single" w:sz="12" w:space="0" w:color="auto"/>
              <w:right w:val="single" w:sz="4" w:space="0" w:color="auto"/>
            </w:tcBorders>
            <w:shd w:val="clear" w:color="auto" w:fill="FFFFCC"/>
          </w:tcPr>
          <w:p w:rsidR="00F7415C" w:rsidRPr="007E652E" w:rsidRDefault="00F7415C" w:rsidP="00800FEB">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Tipo de Memoria</w:t>
            </w:r>
          </w:p>
        </w:tc>
        <w:tc>
          <w:tcPr>
            <w:tcW w:w="6674" w:type="dxa"/>
            <w:gridSpan w:val="5"/>
            <w:tcBorders>
              <w:top w:val="single" w:sz="4" w:space="0" w:color="auto"/>
              <w:left w:val="single" w:sz="4" w:space="0" w:color="auto"/>
              <w:bottom w:val="single" w:sz="4" w:space="0" w:color="auto"/>
              <w:right w:val="single" w:sz="12" w:space="0" w:color="auto"/>
            </w:tcBorders>
            <w:shd w:val="clear" w:color="auto" w:fill="FFCC99"/>
          </w:tcPr>
          <w:p w:rsidR="003B1E2C" w:rsidRPr="007E652E" w:rsidRDefault="00F7415C" w:rsidP="00713779">
            <w:pPr>
              <w:tabs>
                <w:tab w:val="left" w:pos="2967"/>
              </w:tabs>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 xml:space="preserve">  </w:t>
            </w:r>
            <w:r w:rsidR="00713779" w:rsidRPr="007E652E">
              <w:rPr>
                <w:rFonts w:ascii="Arial" w:eastAsia="Times New Roman" w:hAnsi="Arial" w:cs="Arial"/>
                <w:sz w:val="24"/>
                <w:szCs w:val="24"/>
              </w:rPr>
              <w:t xml:space="preserve">     </w:t>
            </w:r>
            <w:r w:rsidRPr="007E652E">
              <w:rPr>
                <w:rFonts w:ascii="Arial" w:eastAsia="Times New Roman" w:hAnsi="Arial" w:cs="Arial"/>
                <w:sz w:val="24"/>
                <w:szCs w:val="24"/>
              </w:rPr>
              <w:t xml:space="preserve">                       Normal</w:t>
            </w:r>
            <w:r w:rsidR="0043502A" w:rsidRPr="007E652E">
              <w:rPr>
                <w:rFonts w:ascii="Arial" w:hAnsi="Arial" w:cs="Arial"/>
                <w:sz w:val="24"/>
                <w:szCs w:val="24"/>
              </w:rPr>
              <w:fldChar w:fldCharType="begin">
                <w:ffData>
                  <w:name w:val=""/>
                  <w:enabled/>
                  <w:calcOnExit w:val="0"/>
                  <w:checkBox>
                    <w:sizeAuto/>
                    <w:default w:val="1"/>
                  </w:checkBox>
                </w:ffData>
              </w:fldChar>
            </w:r>
            <w:r w:rsidR="0043502A" w:rsidRPr="007E652E">
              <w:rPr>
                <w:rFonts w:ascii="Arial" w:hAnsi="Arial" w:cs="Arial"/>
                <w:sz w:val="24"/>
                <w:szCs w:val="24"/>
              </w:rPr>
              <w:instrText xml:space="preserve"> FORMCHECKBOX </w:instrText>
            </w:r>
            <w:r w:rsidR="007310D4">
              <w:rPr>
                <w:rFonts w:ascii="Arial" w:hAnsi="Arial" w:cs="Arial"/>
                <w:sz w:val="24"/>
                <w:szCs w:val="24"/>
              </w:rPr>
            </w:r>
            <w:r w:rsidR="007310D4">
              <w:rPr>
                <w:rFonts w:ascii="Arial" w:hAnsi="Arial" w:cs="Arial"/>
                <w:sz w:val="24"/>
                <w:szCs w:val="24"/>
              </w:rPr>
              <w:fldChar w:fldCharType="separate"/>
            </w:r>
            <w:r w:rsidR="0043502A" w:rsidRPr="007E652E">
              <w:rPr>
                <w:rFonts w:ascii="Arial" w:hAnsi="Arial" w:cs="Arial"/>
                <w:sz w:val="24"/>
                <w:szCs w:val="24"/>
              </w:rPr>
              <w:fldChar w:fldCharType="end"/>
            </w:r>
            <w:r w:rsidRPr="007E652E">
              <w:rPr>
                <w:rFonts w:ascii="Arial" w:eastAsia="Times New Roman" w:hAnsi="Arial" w:cs="Arial"/>
                <w:sz w:val="24"/>
                <w:szCs w:val="24"/>
              </w:rPr>
              <w:t xml:space="preserve">           Abreviada </w:t>
            </w:r>
            <w:r w:rsidR="0043502A" w:rsidRPr="007E652E">
              <w:rPr>
                <w:rFonts w:ascii="Arial" w:eastAsia="Times New Roman" w:hAnsi="Arial" w:cs="Arial"/>
                <w:sz w:val="24"/>
                <w:szCs w:val="24"/>
              </w:rPr>
              <w:fldChar w:fldCharType="begin">
                <w:ffData>
                  <w:name w:val="Casilla2"/>
                  <w:enabled/>
                  <w:calcOnExit w:val="0"/>
                  <w:checkBox>
                    <w:sizeAuto/>
                    <w:default w:val="0"/>
                  </w:checkBox>
                </w:ffData>
              </w:fldChar>
            </w:r>
            <w:bookmarkStart w:id="2" w:name="Casilla2"/>
            <w:r w:rsidR="0043502A"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0043502A" w:rsidRPr="007E652E">
              <w:rPr>
                <w:rFonts w:ascii="Arial" w:eastAsia="Times New Roman" w:hAnsi="Arial" w:cs="Arial"/>
                <w:sz w:val="24"/>
                <w:szCs w:val="24"/>
              </w:rPr>
              <w:fldChar w:fldCharType="end"/>
            </w:r>
            <w:bookmarkEnd w:id="2"/>
          </w:p>
        </w:tc>
      </w:tr>
      <w:tr w:rsidR="007E652E" w:rsidRPr="007E652E" w:rsidTr="00B605EE">
        <w:trPr>
          <w:trHeight w:val="142"/>
        </w:trPr>
        <w:tc>
          <w:tcPr>
            <w:tcW w:w="9741" w:type="dxa"/>
            <w:gridSpan w:val="6"/>
            <w:tcBorders>
              <w:top w:val="single" w:sz="4" w:space="0" w:color="auto"/>
              <w:left w:val="single" w:sz="12" w:space="0" w:color="auto"/>
              <w:bottom w:val="single" w:sz="4" w:space="0" w:color="auto"/>
              <w:right w:val="single" w:sz="12" w:space="0" w:color="auto"/>
            </w:tcBorders>
            <w:shd w:val="clear" w:color="auto" w:fill="FFCC00"/>
          </w:tcPr>
          <w:p w:rsidR="00F7415C" w:rsidRPr="007E652E" w:rsidRDefault="00F7415C" w:rsidP="003B1E2C">
            <w:pPr>
              <w:tabs>
                <w:tab w:val="left" w:pos="5670"/>
              </w:tabs>
              <w:spacing w:before="240" w:after="240" w:line="360" w:lineRule="auto"/>
              <w:ind w:firstLine="573"/>
              <w:jc w:val="center"/>
              <w:rPr>
                <w:rFonts w:ascii="Arial" w:eastAsia="Times New Roman" w:hAnsi="Arial" w:cs="Arial"/>
                <w:b/>
                <w:sz w:val="24"/>
                <w:szCs w:val="24"/>
              </w:rPr>
            </w:pPr>
            <w:r w:rsidRPr="007E652E">
              <w:rPr>
                <w:rFonts w:ascii="Arial" w:eastAsia="Times New Roman" w:hAnsi="Arial" w:cs="Arial"/>
                <w:b/>
                <w:sz w:val="24"/>
                <w:szCs w:val="24"/>
              </w:rPr>
              <w:t>OPORTUNIDAD DE LA PROPUESTA</w:t>
            </w:r>
          </w:p>
        </w:tc>
      </w:tr>
      <w:tr w:rsidR="007E652E" w:rsidRPr="007E652E" w:rsidTr="00B605EE">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6A508E">
            <w:pPr>
              <w:spacing w:before="240" w:after="240" w:line="360" w:lineRule="auto"/>
              <w:ind w:firstLine="573"/>
              <w:jc w:val="center"/>
              <w:rPr>
                <w:rFonts w:ascii="Arial" w:eastAsia="Times New Roman" w:hAnsi="Arial" w:cs="Arial"/>
                <w:b/>
                <w:sz w:val="24"/>
                <w:szCs w:val="24"/>
              </w:rPr>
            </w:pPr>
          </w:p>
          <w:p w:rsidR="00F7415C" w:rsidRPr="007E652E" w:rsidRDefault="00F7415C" w:rsidP="006A508E">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Situación que se regula</w:t>
            </w:r>
          </w:p>
          <w:p w:rsidR="00F7415C" w:rsidRPr="007E652E" w:rsidRDefault="00F7415C" w:rsidP="006A508E">
            <w:pPr>
              <w:spacing w:before="240" w:after="240" w:line="360" w:lineRule="auto"/>
              <w:ind w:firstLine="573"/>
              <w:jc w:val="center"/>
              <w:rPr>
                <w:rFonts w:ascii="Arial" w:eastAsia="Times New Roman" w:hAnsi="Arial" w:cs="Arial"/>
                <w:b/>
                <w:sz w:val="24"/>
                <w:szCs w:val="24"/>
              </w:rPr>
            </w:pP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hideMark/>
          </w:tcPr>
          <w:p w:rsidR="00F7415C" w:rsidRPr="007E652E" w:rsidRDefault="00627186" w:rsidP="00B15837">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 xml:space="preserve">Se </w:t>
            </w:r>
            <w:r w:rsidR="003311F1" w:rsidRPr="007E652E">
              <w:rPr>
                <w:rFonts w:ascii="Arial" w:eastAsia="Times New Roman" w:hAnsi="Arial" w:cs="Arial"/>
                <w:sz w:val="24"/>
                <w:szCs w:val="24"/>
              </w:rPr>
              <w:t xml:space="preserve">transpone al ordenamiento jurídico interno español la </w:t>
            </w:r>
            <w:r w:rsidR="00B15837" w:rsidRPr="007E652E">
              <w:rPr>
                <w:rFonts w:ascii="Arial" w:eastAsia="Times New Roman" w:hAnsi="Arial" w:cs="Arial"/>
                <w:sz w:val="24"/>
                <w:szCs w:val="24"/>
              </w:rPr>
              <w:t>D</w:t>
            </w:r>
            <w:r w:rsidR="003311F1" w:rsidRPr="007E652E">
              <w:rPr>
                <w:rFonts w:ascii="Arial" w:eastAsia="Times New Roman" w:hAnsi="Arial" w:cs="Arial"/>
                <w:sz w:val="24"/>
                <w:szCs w:val="24"/>
              </w:rPr>
              <w:t>irectiva (UE) 2016/943 del Parlamento Europeo y del Consejo</w:t>
            </w:r>
            <w:r w:rsidR="001F7206" w:rsidRPr="007E652E">
              <w:rPr>
                <w:rFonts w:ascii="Arial" w:eastAsia="Times New Roman" w:hAnsi="Arial" w:cs="Arial"/>
                <w:sz w:val="24"/>
                <w:szCs w:val="24"/>
              </w:rPr>
              <w:t>,</w:t>
            </w:r>
            <w:r w:rsidR="003311F1" w:rsidRPr="007E652E">
              <w:rPr>
                <w:rFonts w:ascii="Arial" w:eastAsia="Times New Roman" w:hAnsi="Arial" w:cs="Arial"/>
                <w:sz w:val="24"/>
                <w:szCs w:val="24"/>
              </w:rPr>
              <w:t xml:space="preserve"> de 8 de junio de 2016</w:t>
            </w:r>
            <w:r w:rsidR="001F7206" w:rsidRPr="007E652E">
              <w:rPr>
                <w:rFonts w:ascii="Arial" w:eastAsia="Times New Roman" w:hAnsi="Arial" w:cs="Arial"/>
                <w:sz w:val="24"/>
                <w:szCs w:val="24"/>
              </w:rPr>
              <w:t>,</w:t>
            </w:r>
            <w:r w:rsidR="003311F1" w:rsidRPr="007E652E">
              <w:rPr>
                <w:rFonts w:ascii="Arial" w:eastAsia="Times New Roman" w:hAnsi="Arial" w:cs="Arial"/>
                <w:sz w:val="24"/>
                <w:szCs w:val="24"/>
              </w:rPr>
              <w:t xml:space="preserve"> relativa a la protección de los conocimientos técnicos y la información empresarial no divulgados (secretos </w:t>
            </w:r>
            <w:r w:rsidR="001F7206" w:rsidRPr="007E652E">
              <w:rPr>
                <w:rFonts w:ascii="Arial" w:eastAsia="Times New Roman" w:hAnsi="Arial" w:cs="Arial"/>
                <w:sz w:val="24"/>
                <w:szCs w:val="24"/>
              </w:rPr>
              <w:t>comerciales</w:t>
            </w:r>
            <w:r w:rsidR="003311F1" w:rsidRPr="007E652E">
              <w:rPr>
                <w:rFonts w:ascii="Arial" w:eastAsia="Times New Roman" w:hAnsi="Arial" w:cs="Arial"/>
                <w:sz w:val="24"/>
                <w:szCs w:val="24"/>
              </w:rPr>
              <w:t>) contra su obtención, utilización y revelación ilícitas</w:t>
            </w:r>
            <w:r w:rsidR="00AC0A12" w:rsidRPr="007E652E">
              <w:rPr>
                <w:rFonts w:ascii="Arial" w:eastAsia="Times New Roman" w:hAnsi="Arial" w:cs="Arial"/>
                <w:sz w:val="24"/>
                <w:szCs w:val="24"/>
              </w:rPr>
              <w:t>.</w:t>
            </w:r>
          </w:p>
        </w:tc>
      </w:tr>
      <w:tr w:rsidR="007E652E" w:rsidRPr="007E652E" w:rsidTr="00B605EE">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6A508E">
            <w:pPr>
              <w:spacing w:before="240" w:after="240" w:line="360" w:lineRule="auto"/>
              <w:ind w:firstLine="573"/>
              <w:jc w:val="center"/>
              <w:rPr>
                <w:rFonts w:ascii="Arial" w:eastAsia="Times New Roman" w:hAnsi="Arial" w:cs="Arial"/>
                <w:b/>
                <w:sz w:val="24"/>
                <w:szCs w:val="24"/>
              </w:rPr>
            </w:pPr>
          </w:p>
          <w:p w:rsidR="00F7415C" w:rsidRPr="007E652E" w:rsidRDefault="00F7415C" w:rsidP="006A508E">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Objetivos que se persiguen</w:t>
            </w:r>
          </w:p>
          <w:p w:rsidR="00F7415C" w:rsidRPr="007E652E" w:rsidRDefault="00F7415C" w:rsidP="006A508E">
            <w:pPr>
              <w:spacing w:before="240" w:after="240" w:line="360" w:lineRule="auto"/>
              <w:ind w:firstLine="573"/>
              <w:jc w:val="center"/>
              <w:rPr>
                <w:rFonts w:ascii="Arial" w:eastAsia="Times New Roman" w:hAnsi="Arial" w:cs="Arial"/>
                <w:b/>
                <w:sz w:val="24"/>
                <w:szCs w:val="24"/>
              </w:rPr>
            </w:pP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F7415C" w:rsidRPr="007E652E" w:rsidRDefault="00AC0A12"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lastRenderedPageBreak/>
              <w:t>-</w:t>
            </w:r>
            <w:r w:rsidR="009B5823" w:rsidRPr="007E652E">
              <w:rPr>
                <w:rFonts w:ascii="Arial" w:eastAsia="Times New Roman" w:hAnsi="Arial" w:cs="Arial"/>
                <w:sz w:val="24"/>
                <w:szCs w:val="24"/>
              </w:rPr>
              <w:t xml:space="preserve"> </w:t>
            </w:r>
            <w:r w:rsidRPr="007E652E">
              <w:rPr>
                <w:rFonts w:ascii="Arial" w:eastAsia="Times New Roman" w:hAnsi="Arial" w:cs="Arial"/>
                <w:sz w:val="24"/>
                <w:szCs w:val="24"/>
              </w:rPr>
              <w:t xml:space="preserve">Cumplir el mandato de transposición y, a tal fin, </w:t>
            </w:r>
            <w:r w:rsidR="009B5823" w:rsidRPr="007E652E">
              <w:rPr>
                <w:rFonts w:ascii="Arial" w:eastAsia="Times New Roman" w:hAnsi="Arial" w:cs="Arial"/>
                <w:sz w:val="24"/>
                <w:szCs w:val="24"/>
              </w:rPr>
              <w:t>establecer un régimen de protección de los secretos empresariales en el ordenamiento jurídico</w:t>
            </w:r>
            <w:r w:rsidRPr="007E652E">
              <w:rPr>
                <w:rFonts w:ascii="Arial" w:eastAsia="Times New Roman" w:hAnsi="Arial" w:cs="Arial"/>
                <w:sz w:val="24"/>
                <w:szCs w:val="24"/>
              </w:rPr>
              <w:t xml:space="preserve"> español</w:t>
            </w:r>
            <w:r w:rsidR="00F7415C" w:rsidRPr="007E652E">
              <w:rPr>
                <w:rFonts w:ascii="Arial" w:eastAsia="Times New Roman" w:hAnsi="Arial" w:cs="Arial"/>
                <w:sz w:val="24"/>
                <w:szCs w:val="24"/>
              </w:rPr>
              <w:t>.</w:t>
            </w:r>
          </w:p>
          <w:p w:rsidR="00367A1E" w:rsidRPr="007E652E" w:rsidRDefault="00367A1E"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w:t>
            </w:r>
            <w:r w:rsidRPr="007E652E">
              <w:rPr>
                <w:rFonts w:ascii="Arial" w:hAnsi="Arial" w:cs="Arial"/>
                <w:sz w:val="24"/>
                <w:szCs w:val="24"/>
              </w:rPr>
              <w:t xml:space="preserve"> </w:t>
            </w:r>
            <w:r w:rsidRPr="007E652E">
              <w:rPr>
                <w:rFonts w:ascii="Arial" w:eastAsia="Times New Roman" w:hAnsi="Arial" w:cs="Arial"/>
                <w:sz w:val="24"/>
                <w:szCs w:val="24"/>
              </w:rPr>
              <w:t>Completa</w:t>
            </w:r>
            <w:r w:rsidR="007B0A64" w:rsidRPr="007E652E">
              <w:rPr>
                <w:rFonts w:ascii="Arial" w:eastAsia="Times New Roman" w:hAnsi="Arial" w:cs="Arial"/>
                <w:sz w:val="24"/>
                <w:szCs w:val="24"/>
              </w:rPr>
              <w:t>r</w:t>
            </w:r>
            <w:r w:rsidRPr="007E652E">
              <w:rPr>
                <w:rFonts w:ascii="Arial" w:eastAsia="Times New Roman" w:hAnsi="Arial" w:cs="Arial"/>
                <w:sz w:val="24"/>
                <w:szCs w:val="24"/>
              </w:rPr>
              <w:t xml:space="preserve"> la </w:t>
            </w:r>
            <w:r w:rsidR="00854234" w:rsidRPr="007E652E">
              <w:rPr>
                <w:rFonts w:ascii="Arial" w:eastAsia="Times New Roman" w:hAnsi="Arial" w:cs="Arial"/>
                <w:sz w:val="24"/>
                <w:szCs w:val="24"/>
              </w:rPr>
              <w:t>regula</w:t>
            </w:r>
            <w:r w:rsidRPr="007E652E">
              <w:rPr>
                <w:rFonts w:ascii="Arial" w:eastAsia="Times New Roman" w:hAnsi="Arial" w:cs="Arial"/>
                <w:sz w:val="24"/>
                <w:szCs w:val="24"/>
              </w:rPr>
              <w:t xml:space="preserve">ción de la </w:t>
            </w:r>
            <w:r w:rsidR="00854234" w:rsidRPr="007E652E">
              <w:rPr>
                <w:rFonts w:ascii="Arial" w:eastAsia="Times New Roman" w:hAnsi="Arial" w:cs="Arial"/>
                <w:sz w:val="24"/>
                <w:szCs w:val="24"/>
              </w:rPr>
              <w:t xml:space="preserve">Ley 3/1991, de 10 de </w:t>
            </w:r>
            <w:r w:rsidR="00854234" w:rsidRPr="007E652E">
              <w:rPr>
                <w:rFonts w:ascii="Arial" w:eastAsia="Times New Roman" w:hAnsi="Arial" w:cs="Arial"/>
                <w:sz w:val="24"/>
                <w:szCs w:val="24"/>
              </w:rPr>
              <w:lastRenderedPageBreak/>
              <w:t>enero, de Competencia Desleal</w:t>
            </w:r>
            <w:r w:rsidR="007B0A64" w:rsidRPr="007E652E">
              <w:rPr>
                <w:rFonts w:ascii="Arial" w:eastAsia="Times New Roman" w:hAnsi="Arial" w:cs="Arial"/>
                <w:sz w:val="24"/>
                <w:szCs w:val="24"/>
              </w:rPr>
              <w:t xml:space="preserve">, </w:t>
            </w:r>
            <w:r w:rsidR="00854234" w:rsidRPr="007E652E">
              <w:rPr>
                <w:rFonts w:ascii="Arial" w:eastAsia="Times New Roman" w:hAnsi="Arial" w:cs="Arial"/>
                <w:sz w:val="24"/>
                <w:szCs w:val="24"/>
              </w:rPr>
              <w:t>y en concreto, su artículo 13 desde una perspectiva sustantiva y, especialmente, procesal.</w:t>
            </w:r>
          </w:p>
        </w:tc>
      </w:tr>
      <w:tr w:rsidR="007E652E" w:rsidRPr="007E652E" w:rsidTr="00B605EE">
        <w:trPr>
          <w:trHeight w:val="142"/>
        </w:trPr>
        <w:tc>
          <w:tcPr>
            <w:tcW w:w="3247" w:type="dxa"/>
            <w:gridSpan w:val="2"/>
            <w:tcBorders>
              <w:top w:val="single" w:sz="4" w:space="0" w:color="auto"/>
              <w:left w:val="single" w:sz="12" w:space="0" w:color="auto"/>
              <w:bottom w:val="single" w:sz="12" w:space="0" w:color="auto"/>
              <w:right w:val="single" w:sz="4" w:space="0" w:color="auto"/>
            </w:tcBorders>
            <w:shd w:val="clear" w:color="auto" w:fill="FFFFCC"/>
          </w:tcPr>
          <w:p w:rsidR="00F7415C" w:rsidRPr="007E652E" w:rsidRDefault="00F7415C" w:rsidP="006A508E">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lastRenderedPageBreak/>
              <w:t>Principales alternativas consideradas</w:t>
            </w:r>
          </w:p>
          <w:p w:rsidR="00F7415C" w:rsidRPr="007E652E" w:rsidRDefault="00F7415C" w:rsidP="006A508E">
            <w:pPr>
              <w:spacing w:before="240" w:after="240" w:line="360" w:lineRule="auto"/>
              <w:ind w:firstLine="573"/>
              <w:jc w:val="center"/>
              <w:rPr>
                <w:rFonts w:ascii="Arial" w:eastAsia="Times New Roman" w:hAnsi="Arial" w:cs="Arial"/>
                <w:b/>
                <w:sz w:val="24"/>
                <w:szCs w:val="24"/>
              </w:rPr>
            </w:pP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F7415C" w:rsidRPr="007E652E" w:rsidRDefault="00CA00C9" w:rsidP="00B00F84">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 xml:space="preserve">La </w:t>
            </w:r>
            <w:r w:rsidR="00B00F84">
              <w:rPr>
                <w:rFonts w:ascii="Arial" w:eastAsia="Times New Roman" w:hAnsi="Arial" w:cs="Arial"/>
                <w:sz w:val="24"/>
                <w:szCs w:val="24"/>
              </w:rPr>
              <w:t>D</w:t>
            </w:r>
            <w:r w:rsidR="00E152B2" w:rsidRPr="007E652E">
              <w:rPr>
                <w:rFonts w:ascii="Arial" w:eastAsia="Times New Roman" w:hAnsi="Arial" w:cs="Arial"/>
                <w:sz w:val="24"/>
                <w:szCs w:val="24"/>
              </w:rPr>
              <w:t>irectiva (UE) 2016/943 debe</w:t>
            </w:r>
            <w:r w:rsidRPr="007E652E">
              <w:rPr>
                <w:rFonts w:ascii="Arial" w:eastAsia="Times New Roman" w:hAnsi="Arial" w:cs="Arial"/>
                <w:sz w:val="24"/>
                <w:szCs w:val="24"/>
              </w:rPr>
              <w:t xml:space="preserve"> ser necesariamente incorporada a la</w:t>
            </w:r>
            <w:r w:rsidR="00800FEB" w:rsidRPr="007E652E">
              <w:rPr>
                <w:rFonts w:ascii="Arial" w:eastAsia="Times New Roman" w:hAnsi="Arial" w:cs="Arial"/>
                <w:sz w:val="24"/>
                <w:szCs w:val="24"/>
              </w:rPr>
              <w:t xml:space="preserve"> legislación procesal española por lo que no existe</w:t>
            </w:r>
            <w:r w:rsidRPr="007E652E">
              <w:rPr>
                <w:rFonts w:ascii="Arial" w:eastAsia="Times New Roman" w:hAnsi="Arial" w:cs="Arial"/>
                <w:sz w:val="24"/>
                <w:szCs w:val="24"/>
              </w:rPr>
              <w:t xml:space="preserve"> alternativa a la </w:t>
            </w:r>
            <w:r w:rsidR="00E152B2" w:rsidRPr="007E652E">
              <w:rPr>
                <w:rFonts w:ascii="Arial" w:eastAsia="Times New Roman" w:hAnsi="Arial" w:cs="Arial"/>
                <w:sz w:val="24"/>
                <w:szCs w:val="24"/>
              </w:rPr>
              <w:t>aprobación de la presente norma</w:t>
            </w:r>
            <w:r w:rsidRPr="007E652E">
              <w:rPr>
                <w:rFonts w:ascii="Arial" w:eastAsia="Times New Roman" w:hAnsi="Arial" w:cs="Arial"/>
                <w:sz w:val="24"/>
                <w:szCs w:val="24"/>
              </w:rPr>
              <w:t>.</w:t>
            </w:r>
          </w:p>
        </w:tc>
      </w:tr>
      <w:tr w:rsidR="007E652E" w:rsidRPr="007E652E" w:rsidTr="00B605EE">
        <w:trPr>
          <w:trHeight w:val="142"/>
        </w:trPr>
        <w:tc>
          <w:tcPr>
            <w:tcW w:w="9741" w:type="dxa"/>
            <w:gridSpan w:val="6"/>
            <w:tcBorders>
              <w:top w:val="single" w:sz="4" w:space="0" w:color="auto"/>
              <w:left w:val="single" w:sz="12" w:space="0" w:color="auto"/>
              <w:bottom w:val="single" w:sz="4" w:space="0" w:color="auto"/>
              <w:right w:val="single" w:sz="12" w:space="0" w:color="auto"/>
            </w:tcBorders>
            <w:shd w:val="clear" w:color="auto" w:fill="FFCC00"/>
          </w:tcPr>
          <w:p w:rsidR="00F7415C" w:rsidRPr="007E652E" w:rsidRDefault="00F7415C" w:rsidP="003B1E2C">
            <w:pPr>
              <w:spacing w:before="240" w:after="240" w:line="360" w:lineRule="auto"/>
              <w:ind w:firstLine="573"/>
              <w:jc w:val="center"/>
              <w:rPr>
                <w:rFonts w:ascii="Arial" w:eastAsia="Times New Roman" w:hAnsi="Arial" w:cs="Arial"/>
                <w:sz w:val="24"/>
                <w:szCs w:val="24"/>
              </w:rPr>
            </w:pPr>
            <w:r w:rsidRPr="007E652E">
              <w:rPr>
                <w:rFonts w:ascii="Arial" w:eastAsia="Times New Roman" w:hAnsi="Arial" w:cs="Arial"/>
                <w:b/>
                <w:sz w:val="24"/>
                <w:szCs w:val="24"/>
              </w:rPr>
              <w:t>CONTENIDO Y ANÁLISIS JURÍDICO</w:t>
            </w:r>
          </w:p>
        </w:tc>
      </w:tr>
      <w:tr w:rsidR="007E652E" w:rsidRPr="007E652E" w:rsidTr="00B605EE">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3B1E2C">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Tipo de norma</w:t>
            </w: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F7415C" w:rsidRPr="007E652E" w:rsidRDefault="00FE73FB"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Ley</w:t>
            </w:r>
            <w:r w:rsidR="00F7415C" w:rsidRPr="007E652E">
              <w:rPr>
                <w:rFonts w:ascii="Arial" w:eastAsia="Times New Roman" w:hAnsi="Arial" w:cs="Arial"/>
                <w:sz w:val="24"/>
                <w:szCs w:val="24"/>
              </w:rPr>
              <w:t>.</w:t>
            </w:r>
          </w:p>
        </w:tc>
      </w:tr>
      <w:tr w:rsidR="007E652E" w:rsidRPr="007E652E" w:rsidTr="00B605EE">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6A508E">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Estructura de la Norma</w:t>
            </w:r>
          </w:p>
          <w:p w:rsidR="00F7415C" w:rsidRPr="007E652E" w:rsidRDefault="00F7415C" w:rsidP="006A508E">
            <w:pPr>
              <w:spacing w:before="240" w:after="240" w:line="360" w:lineRule="auto"/>
              <w:ind w:firstLine="573"/>
              <w:jc w:val="center"/>
              <w:rPr>
                <w:rFonts w:ascii="Arial" w:eastAsia="Times New Roman" w:hAnsi="Arial" w:cs="Arial"/>
                <w:b/>
                <w:sz w:val="24"/>
                <w:szCs w:val="24"/>
              </w:rPr>
            </w:pP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F7415C" w:rsidRPr="007E652E" w:rsidRDefault="006F27FC" w:rsidP="002D4BD6">
            <w:pPr>
              <w:spacing w:before="240" w:after="240" w:line="360" w:lineRule="auto"/>
              <w:jc w:val="both"/>
              <w:rPr>
                <w:rFonts w:ascii="Arial" w:eastAsia="Times New Roman" w:hAnsi="Arial" w:cs="Arial"/>
                <w:sz w:val="24"/>
                <w:szCs w:val="24"/>
              </w:rPr>
            </w:pPr>
            <w:r w:rsidRPr="007E652E">
              <w:rPr>
                <w:rFonts w:ascii="Arial" w:hAnsi="Arial" w:cs="Arial"/>
                <w:sz w:val="24"/>
                <w:szCs w:val="24"/>
              </w:rPr>
              <w:t>La ley se estructura en</w:t>
            </w:r>
            <w:r w:rsidR="00182016" w:rsidRPr="007E652E">
              <w:rPr>
                <w:rFonts w:ascii="Arial" w:hAnsi="Arial" w:cs="Arial"/>
                <w:sz w:val="24"/>
                <w:szCs w:val="24"/>
              </w:rPr>
              <w:t xml:space="preserve"> </w:t>
            </w:r>
            <w:r w:rsidR="002D4BD6" w:rsidRPr="007E652E">
              <w:rPr>
                <w:rFonts w:ascii="Arial" w:hAnsi="Arial" w:cs="Arial"/>
                <w:sz w:val="24"/>
                <w:szCs w:val="24"/>
              </w:rPr>
              <w:t>veint</w:t>
            </w:r>
            <w:r w:rsidR="002D4BD6">
              <w:rPr>
                <w:rFonts w:ascii="Arial" w:hAnsi="Arial" w:cs="Arial"/>
                <w:sz w:val="24"/>
                <w:szCs w:val="24"/>
              </w:rPr>
              <w:t>icinco</w:t>
            </w:r>
            <w:r w:rsidR="002D4BD6" w:rsidRPr="007E652E">
              <w:rPr>
                <w:rFonts w:ascii="Arial" w:hAnsi="Arial" w:cs="Arial"/>
                <w:sz w:val="24"/>
                <w:szCs w:val="24"/>
              </w:rPr>
              <w:t xml:space="preserve"> </w:t>
            </w:r>
            <w:r w:rsidR="00182016" w:rsidRPr="007E652E">
              <w:rPr>
                <w:rFonts w:ascii="Arial" w:hAnsi="Arial" w:cs="Arial"/>
                <w:sz w:val="24"/>
                <w:szCs w:val="24"/>
              </w:rPr>
              <w:t>artículo</w:t>
            </w:r>
            <w:r w:rsidR="00F82AF3" w:rsidRPr="007E652E">
              <w:rPr>
                <w:rFonts w:ascii="Arial" w:hAnsi="Arial" w:cs="Arial"/>
                <w:sz w:val="24"/>
                <w:szCs w:val="24"/>
              </w:rPr>
              <w:t xml:space="preserve">s distribuidos en </w:t>
            </w:r>
            <w:r w:rsidR="004757B8" w:rsidRPr="007E652E">
              <w:rPr>
                <w:rFonts w:ascii="Arial" w:hAnsi="Arial" w:cs="Arial"/>
                <w:sz w:val="24"/>
                <w:szCs w:val="24"/>
              </w:rPr>
              <w:t>c</w:t>
            </w:r>
            <w:r w:rsidR="004757B8">
              <w:rPr>
                <w:rFonts w:ascii="Arial" w:hAnsi="Arial" w:cs="Arial"/>
                <w:sz w:val="24"/>
                <w:szCs w:val="24"/>
              </w:rPr>
              <w:t>inco</w:t>
            </w:r>
            <w:r w:rsidR="004757B8" w:rsidRPr="007E652E">
              <w:rPr>
                <w:rFonts w:ascii="Arial" w:hAnsi="Arial" w:cs="Arial"/>
                <w:sz w:val="24"/>
                <w:szCs w:val="24"/>
              </w:rPr>
              <w:t xml:space="preserve"> </w:t>
            </w:r>
            <w:r w:rsidR="00D340FD" w:rsidRPr="007E652E">
              <w:rPr>
                <w:rFonts w:ascii="Arial" w:hAnsi="Arial" w:cs="Arial"/>
                <w:sz w:val="24"/>
                <w:szCs w:val="24"/>
              </w:rPr>
              <w:t>c</w:t>
            </w:r>
            <w:r w:rsidR="00894658" w:rsidRPr="007E652E">
              <w:rPr>
                <w:rFonts w:ascii="Arial" w:hAnsi="Arial" w:cs="Arial"/>
                <w:sz w:val="24"/>
                <w:szCs w:val="24"/>
              </w:rPr>
              <w:t>apítulos, una disposición transitoria</w:t>
            </w:r>
            <w:r w:rsidR="00182016" w:rsidRPr="007E652E">
              <w:rPr>
                <w:rFonts w:ascii="Arial" w:hAnsi="Arial" w:cs="Arial"/>
                <w:sz w:val="24"/>
                <w:szCs w:val="24"/>
              </w:rPr>
              <w:t xml:space="preserve"> únic</w:t>
            </w:r>
            <w:r w:rsidR="00894658" w:rsidRPr="007E652E">
              <w:rPr>
                <w:rFonts w:ascii="Arial" w:hAnsi="Arial" w:cs="Arial"/>
                <w:sz w:val="24"/>
                <w:szCs w:val="24"/>
              </w:rPr>
              <w:t xml:space="preserve">a y </w:t>
            </w:r>
            <w:r w:rsidR="002D4BD6">
              <w:rPr>
                <w:rFonts w:ascii="Arial" w:hAnsi="Arial" w:cs="Arial"/>
                <w:sz w:val="24"/>
                <w:szCs w:val="24"/>
              </w:rPr>
              <w:t>cinco</w:t>
            </w:r>
            <w:r w:rsidR="002D4BD6" w:rsidRPr="007E652E">
              <w:rPr>
                <w:rFonts w:ascii="Arial" w:hAnsi="Arial" w:cs="Arial"/>
                <w:sz w:val="24"/>
                <w:szCs w:val="24"/>
              </w:rPr>
              <w:t xml:space="preserve"> </w:t>
            </w:r>
            <w:r w:rsidR="00894658" w:rsidRPr="007E652E">
              <w:rPr>
                <w:rFonts w:ascii="Arial" w:hAnsi="Arial" w:cs="Arial"/>
                <w:sz w:val="24"/>
                <w:szCs w:val="24"/>
              </w:rPr>
              <w:t>disposiciones finales.</w:t>
            </w:r>
            <w:r w:rsidR="00182016" w:rsidRPr="007E652E">
              <w:rPr>
                <w:rFonts w:ascii="Arial" w:hAnsi="Arial" w:cs="Arial"/>
                <w:sz w:val="24"/>
                <w:szCs w:val="24"/>
              </w:rPr>
              <w:t xml:space="preserve"> </w:t>
            </w:r>
          </w:p>
        </w:tc>
      </w:tr>
      <w:tr w:rsidR="007E652E" w:rsidRPr="007E652E" w:rsidTr="00B605EE">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6A508E">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Informes recabados</w:t>
            </w:r>
          </w:p>
          <w:p w:rsidR="00F7415C" w:rsidRPr="007E652E" w:rsidRDefault="00F7415C" w:rsidP="006A508E">
            <w:pPr>
              <w:spacing w:before="240" w:after="240" w:line="360" w:lineRule="auto"/>
              <w:ind w:firstLine="573"/>
              <w:jc w:val="center"/>
              <w:rPr>
                <w:rFonts w:ascii="Arial" w:eastAsia="Times New Roman" w:hAnsi="Arial" w:cs="Arial"/>
                <w:b/>
                <w:sz w:val="24"/>
                <w:szCs w:val="24"/>
              </w:rPr>
            </w:pP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AE429D" w:rsidRPr="00AE429D" w:rsidRDefault="00894658" w:rsidP="00AE429D">
            <w:pPr>
              <w:spacing w:before="240" w:after="240" w:line="360" w:lineRule="auto"/>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 </w:t>
            </w:r>
            <w:r w:rsidR="00AE429D" w:rsidRPr="00AE429D">
              <w:rPr>
                <w:rFonts w:ascii="Arial" w:eastAsia="Times New Roman" w:hAnsi="Arial" w:cs="Arial"/>
                <w:sz w:val="24"/>
                <w:szCs w:val="24"/>
                <w:lang w:eastAsia="es-ES"/>
              </w:rPr>
              <w:t xml:space="preserve">La propuesta ha sido informada sin observaciones por el Ministerio de la Presidencia y para las Administraciones </w:t>
            </w:r>
            <w:r w:rsidR="00B32098">
              <w:rPr>
                <w:rFonts w:ascii="Arial" w:eastAsia="Times New Roman" w:hAnsi="Arial" w:cs="Arial"/>
                <w:sz w:val="24"/>
                <w:szCs w:val="24"/>
                <w:lang w:eastAsia="es-ES"/>
              </w:rPr>
              <w:t>Territoriales</w:t>
            </w:r>
            <w:r w:rsidR="00AE429D" w:rsidRPr="00AE429D">
              <w:rPr>
                <w:rFonts w:ascii="Arial" w:eastAsia="Times New Roman" w:hAnsi="Arial" w:cs="Arial"/>
                <w:sz w:val="24"/>
                <w:szCs w:val="24"/>
                <w:lang w:eastAsia="es-ES"/>
              </w:rPr>
              <w:t>, el Ministerio de Economía, Industria y Competitividad y el Ministerio de Empleo y Seguridad Social.</w:t>
            </w:r>
          </w:p>
          <w:p w:rsidR="00AE429D" w:rsidRPr="00AE429D" w:rsidRDefault="00AE429D" w:rsidP="00AE429D">
            <w:pPr>
              <w:spacing w:before="240" w:after="24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w:t>
            </w:r>
            <w:r w:rsidRPr="00AE429D">
              <w:rPr>
                <w:rFonts w:ascii="Arial" w:eastAsia="Times New Roman" w:hAnsi="Arial" w:cs="Arial"/>
                <w:sz w:val="24"/>
                <w:szCs w:val="24"/>
                <w:lang w:eastAsia="es-ES"/>
              </w:rPr>
              <w:t xml:space="preserve">Por su parte, ha sido informada con observaciones por la SGT del Ministerio de Energía, Turismo y Agenda Digital y por la Oficina Española de Patentes y Marcas; por la Comisión Nacional de los Mercados y la Competencia; y por el Consejo General del Poder Judicial. </w:t>
            </w:r>
          </w:p>
          <w:p w:rsidR="00627186" w:rsidRPr="007E652E" w:rsidRDefault="00894658" w:rsidP="002D4BD6">
            <w:pPr>
              <w:spacing w:before="240" w:after="240" w:line="360" w:lineRule="auto"/>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 - </w:t>
            </w:r>
            <w:r w:rsidR="002D4BD6">
              <w:rPr>
                <w:rFonts w:ascii="Arial" w:eastAsia="Times New Roman" w:hAnsi="Arial" w:cs="Arial"/>
                <w:sz w:val="24"/>
                <w:szCs w:val="24"/>
                <w:lang w:eastAsia="es-ES"/>
              </w:rPr>
              <w:t>E</w:t>
            </w:r>
            <w:r w:rsidRPr="007E652E">
              <w:rPr>
                <w:rFonts w:ascii="Arial" w:eastAsia="Times New Roman" w:hAnsi="Arial" w:cs="Arial"/>
                <w:sz w:val="24"/>
                <w:szCs w:val="24"/>
                <w:lang w:eastAsia="es-ES"/>
              </w:rPr>
              <w:t>l Pleno del Consejo de Estado</w:t>
            </w:r>
            <w:r w:rsidR="002D4BD6">
              <w:rPr>
                <w:rFonts w:ascii="Arial" w:eastAsia="Times New Roman" w:hAnsi="Arial" w:cs="Arial"/>
                <w:sz w:val="24"/>
                <w:szCs w:val="24"/>
                <w:lang w:eastAsia="es-ES"/>
              </w:rPr>
              <w:t xml:space="preserve"> ha emitido su Dictamen con fecha 17 de mayo de 2018</w:t>
            </w:r>
            <w:r w:rsidRPr="007E652E">
              <w:rPr>
                <w:rFonts w:ascii="Arial" w:eastAsia="Times New Roman" w:hAnsi="Arial" w:cs="Arial"/>
                <w:sz w:val="24"/>
                <w:szCs w:val="24"/>
                <w:lang w:eastAsia="es-ES"/>
              </w:rPr>
              <w:t>.</w:t>
            </w:r>
          </w:p>
        </w:tc>
      </w:tr>
      <w:tr w:rsidR="007E652E" w:rsidRPr="007E652E" w:rsidTr="00B605EE">
        <w:trPr>
          <w:trHeight w:val="142"/>
        </w:trPr>
        <w:tc>
          <w:tcPr>
            <w:tcW w:w="3247" w:type="dxa"/>
            <w:gridSpan w:val="2"/>
            <w:tcBorders>
              <w:top w:val="single" w:sz="4" w:space="0" w:color="auto"/>
              <w:left w:val="single" w:sz="12" w:space="0" w:color="auto"/>
              <w:bottom w:val="single" w:sz="12" w:space="0" w:color="auto"/>
              <w:right w:val="single" w:sz="4" w:space="0" w:color="auto"/>
            </w:tcBorders>
            <w:shd w:val="clear" w:color="auto" w:fill="FFFFCC"/>
          </w:tcPr>
          <w:p w:rsidR="00F7415C" w:rsidRPr="007E652E" w:rsidRDefault="00F7415C" w:rsidP="006A508E">
            <w:pPr>
              <w:spacing w:before="240" w:after="240" w:line="360" w:lineRule="auto"/>
              <w:jc w:val="center"/>
              <w:rPr>
                <w:rFonts w:ascii="Arial" w:eastAsia="Times New Roman" w:hAnsi="Arial" w:cs="Arial"/>
                <w:b/>
                <w:sz w:val="24"/>
                <w:szCs w:val="24"/>
              </w:rPr>
            </w:pPr>
            <w:r w:rsidRPr="007E652E">
              <w:rPr>
                <w:rFonts w:ascii="Arial" w:eastAsia="Times New Roman" w:hAnsi="Arial" w:cs="Arial"/>
                <w:b/>
                <w:sz w:val="24"/>
                <w:szCs w:val="24"/>
              </w:rPr>
              <w:t>Trámite de audiencia</w:t>
            </w:r>
          </w:p>
          <w:p w:rsidR="00F7415C" w:rsidRPr="007E652E" w:rsidRDefault="00F7415C" w:rsidP="006A508E">
            <w:pPr>
              <w:spacing w:before="240" w:after="240" w:line="360" w:lineRule="auto"/>
              <w:ind w:firstLine="573"/>
              <w:jc w:val="center"/>
              <w:rPr>
                <w:rFonts w:ascii="Arial" w:eastAsia="Times New Roman" w:hAnsi="Arial" w:cs="Arial"/>
                <w:b/>
                <w:sz w:val="24"/>
                <w:szCs w:val="24"/>
              </w:rPr>
            </w:pP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894658" w:rsidRPr="007E652E" w:rsidRDefault="007D347C"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lastRenderedPageBreak/>
              <w:t>Ha sido celebrada</w:t>
            </w:r>
            <w:r w:rsidR="00894658" w:rsidRPr="007E652E">
              <w:rPr>
                <w:rFonts w:ascii="Arial" w:eastAsia="Times New Roman" w:hAnsi="Arial" w:cs="Arial"/>
                <w:sz w:val="24"/>
                <w:szCs w:val="24"/>
              </w:rPr>
              <w:t xml:space="preserve"> consulta pública previa de conformidad </w:t>
            </w:r>
            <w:r w:rsidR="00894658" w:rsidRPr="007E652E">
              <w:rPr>
                <w:rFonts w:ascii="Arial" w:eastAsia="Times New Roman" w:hAnsi="Arial" w:cs="Arial"/>
                <w:sz w:val="24"/>
                <w:szCs w:val="24"/>
              </w:rPr>
              <w:lastRenderedPageBreak/>
              <w:t>con el artículo 26.2 de la Ley del Gobierno</w:t>
            </w:r>
            <w:r w:rsidR="00AE429D" w:rsidRPr="007E652E">
              <w:rPr>
                <w:rFonts w:ascii="Arial" w:eastAsia="Times New Roman" w:hAnsi="Arial" w:cs="Arial"/>
                <w:sz w:val="24"/>
                <w:szCs w:val="24"/>
                <w:lang w:eastAsia="es-ES"/>
              </w:rPr>
              <w:t xml:space="preserve"> del 30/11/2017 al 21/12/2017.</w:t>
            </w:r>
          </w:p>
          <w:p w:rsidR="00894658" w:rsidRPr="007E652E" w:rsidRDefault="00894658" w:rsidP="00344434">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 xml:space="preserve">Asimismo, conforme al artículo 26.6 de la Ley del Gobierno, </w:t>
            </w:r>
            <w:r w:rsidR="00AE429D">
              <w:rPr>
                <w:rFonts w:ascii="Arial" w:eastAsia="Times New Roman" w:hAnsi="Arial" w:cs="Arial"/>
                <w:sz w:val="24"/>
                <w:szCs w:val="24"/>
              </w:rPr>
              <w:t xml:space="preserve">el anteproyecto </w:t>
            </w:r>
            <w:r w:rsidR="00AE429D" w:rsidRPr="00AE429D">
              <w:rPr>
                <w:rFonts w:ascii="Arial" w:eastAsia="Times New Roman" w:hAnsi="Arial" w:cs="Arial"/>
                <w:sz w:val="24"/>
                <w:szCs w:val="24"/>
              </w:rPr>
              <w:t>ha sido sometido al trámite de información pública entre</w:t>
            </w:r>
            <w:r w:rsidR="00344434">
              <w:rPr>
                <w:rFonts w:ascii="Arial" w:eastAsia="Times New Roman" w:hAnsi="Arial" w:cs="Arial"/>
                <w:sz w:val="24"/>
                <w:szCs w:val="24"/>
              </w:rPr>
              <w:t xml:space="preserve"> el 14/02/2018 y el 07/03/2018.</w:t>
            </w:r>
          </w:p>
        </w:tc>
      </w:tr>
      <w:tr w:rsidR="007E652E" w:rsidRPr="007E652E" w:rsidTr="00B605EE">
        <w:trPr>
          <w:trHeight w:val="894"/>
        </w:trPr>
        <w:tc>
          <w:tcPr>
            <w:tcW w:w="9741" w:type="dxa"/>
            <w:gridSpan w:val="6"/>
            <w:tcBorders>
              <w:top w:val="single" w:sz="4" w:space="0" w:color="auto"/>
              <w:left w:val="single" w:sz="12" w:space="0" w:color="auto"/>
              <w:bottom w:val="single" w:sz="4" w:space="0" w:color="auto"/>
              <w:right w:val="single" w:sz="12" w:space="0" w:color="auto"/>
            </w:tcBorders>
            <w:shd w:val="clear" w:color="auto" w:fill="FFCC00"/>
          </w:tcPr>
          <w:p w:rsidR="00F7415C" w:rsidRPr="007E652E" w:rsidRDefault="00F7415C" w:rsidP="003B1E2C">
            <w:pPr>
              <w:spacing w:before="240" w:after="240" w:line="360" w:lineRule="auto"/>
              <w:ind w:firstLine="573"/>
              <w:jc w:val="center"/>
              <w:rPr>
                <w:rFonts w:ascii="Arial" w:eastAsia="Times New Roman" w:hAnsi="Arial" w:cs="Arial"/>
                <w:b/>
                <w:sz w:val="24"/>
                <w:szCs w:val="24"/>
              </w:rPr>
            </w:pPr>
            <w:r w:rsidRPr="007E652E">
              <w:rPr>
                <w:rFonts w:ascii="Arial" w:eastAsia="Times New Roman" w:hAnsi="Arial" w:cs="Arial"/>
                <w:b/>
                <w:sz w:val="24"/>
                <w:szCs w:val="24"/>
              </w:rPr>
              <w:lastRenderedPageBreak/>
              <w:t>ANÁLISIS DE IMPACTOS</w:t>
            </w:r>
          </w:p>
        </w:tc>
      </w:tr>
      <w:tr w:rsidR="007E652E" w:rsidRPr="007E652E" w:rsidTr="00B605EE">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F7415C" w:rsidRPr="007E652E" w:rsidRDefault="00F7415C" w:rsidP="006A508E">
            <w:pPr>
              <w:spacing w:before="240" w:after="240" w:line="360" w:lineRule="auto"/>
              <w:ind w:firstLine="6"/>
              <w:jc w:val="center"/>
              <w:rPr>
                <w:rFonts w:ascii="Arial" w:eastAsia="Times New Roman" w:hAnsi="Arial" w:cs="Arial"/>
                <w:b/>
                <w:sz w:val="24"/>
                <w:szCs w:val="24"/>
              </w:rPr>
            </w:pPr>
            <w:r w:rsidRPr="007E652E">
              <w:rPr>
                <w:rFonts w:ascii="Arial" w:eastAsia="Times New Roman" w:hAnsi="Arial" w:cs="Arial"/>
                <w:b/>
                <w:sz w:val="24"/>
                <w:szCs w:val="24"/>
              </w:rPr>
              <w:t>ADECUACIÓN AL ORDEN DE COMPETENCIAS</w:t>
            </w: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F7415C" w:rsidRPr="007E652E" w:rsidRDefault="00645F95" w:rsidP="00B00F84">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 xml:space="preserve">Esta ley se dicta al amparo de la competencia estatal prevista por el artículo 149.1.9ª de la Constitución en materia de legislación sobre </w:t>
            </w:r>
            <w:r w:rsidR="008A6B42" w:rsidRPr="007E652E">
              <w:rPr>
                <w:rFonts w:ascii="Arial" w:eastAsia="Times New Roman" w:hAnsi="Arial" w:cs="Arial"/>
                <w:sz w:val="24"/>
                <w:szCs w:val="24"/>
              </w:rPr>
              <w:t>p</w:t>
            </w:r>
            <w:r w:rsidRPr="007E652E">
              <w:rPr>
                <w:rFonts w:ascii="Arial" w:eastAsia="Times New Roman" w:hAnsi="Arial" w:cs="Arial"/>
                <w:sz w:val="24"/>
                <w:szCs w:val="24"/>
              </w:rPr>
              <w:t xml:space="preserve">ropiedad </w:t>
            </w:r>
            <w:r w:rsidR="008A6B42" w:rsidRPr="007E652E">
              <w:rPr>
                <w:rFonts w:ascii="Arial" w:eastAsia="Times New Roman" w:hAnsi="Arial" w:cs="Arial"/>
                <w:sz w:val="24"/>
                <w:szCs w:val="24"/>
              </w:rPr>
              <w:t>i</w:t>
            </w:r>
            <w:r w:rsidRPr="007E652E">
              <w:rPr>
                <w:rFonts w:ascii="Arial" w:eastAsia="Times New Roman" w:hAnsi="Arial" w:cs="Arial"/>
                <w:sz w:val="24"/>
                <w:szCs w:val="24"/>
              </w:rPr>
              <w:t>ndustrial salvo</w:t>
            </w:r>
            <w:r w:rsidR="00AE0E0B" w:rsidRPr="007E652E">
              <w:rPr>
                <w:rFonts w:ascii="Arial" w:eastAsia="Times New Roman" w:hAnsi="Arial" w:cs="Arial"/>
                <w:sz w:val="24"/>
                <w:szCs w:val="24"/>
              </w:rPr>
              <w:t xml:space="preserve"> los artículos 1.3 y 2.3.c), que se dictan</w:t>
            </w:r>
            <w:r w:rsidRPr="007E652E">
              <w:rPr>
                <w:rFonts w:ascii="Arial" w:eastAsia="Times New Roman" w:hAnsi="Arial" w:cs="Arial"/>
                <w:sz w:val="24"/>
                <w:szCs w:val="24"/>
              </w:rPr>
              <w:t xml:space="preserve"> al amparo del artículo 149.1.7ª de la Constitución</w:t>
            </w:r>
            <w:r w:rsidR="008A6B42" w:rsidRPr="007E652E">
              <w:rPr>
                <w:rFonts w:ascii="Arial" w:eastAsia="Times New Roman" w:hAnsi="Arial" w:cs="Arial"/>
                <w:sz w:val="24"/>
                <w:szCs w:val="24"/>
              </w:rPr>
              <w:t>,</w:t>
            </w:r>
            <w:r w:rsidRPr="007E652E">
              <w:rPr>
                <w:rFonts w:ascii="Arial" w:eastAsia="Times New Roman" w:hAnsi="Arial" w:cs="Arial"/>
                <w:sz w:val="24"/>
                <w:szCs w:val="24"/>
              </w:rPr>
              <w:t xml:space="preserve"> que reconoce la competencia estatal sobre la legislación laboral, y el </w:t>
            </w:r>
            <w:r w:rsidR="00B00F84">
              <w:rPr>
                <w:rFonts w:ascii="Arial" w:eastAsia="Times New Roman" w:hAnsi="Arial" w:cs="Arial"/>
                <w:sz w:val="24"/>
                <w:szCs w:val="24"/>
              </w:rPr>
              <w:t>C</w:t>
            </w:r>
            <w:r w:rsidRPr="007E652E">
              <w:rPr>
                <w:rFonts w:ascii="Arial" w:eastAsia="Times New Roman" w:hAnsi="Arial" w:cs="Arial"/>
                <w:sz w:val="24"/>
                <w:szCs w:val="24"/>
              </w:rPr>
              <w:t>apítulo V que se ampara en el artículo 149.1.6ª de la Constitución que atribuye al Estado la competencia sobre legislación procesal.</w:t>
            </w:r>
          </w:p>
        </w:tc>
      </w:tr>
      <w:tr w:rsidR="007E652E" w:rsidRPr="007E652E" w:rsidTr="001F575C">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607B8B" w:rsidRPr="007E652E" w:rsidRDefault="00607B8B" w:rsidP="006A508E">
            <w:pPr>
              <w:spacing w:before="240" w:after="240" w:line="360" w:lineRule="auto"/>
              <w:ind w:firstLine="6"/>
              <w:jc w:val="center"/>
              <w:rPr>
                <w:rFonts w:ascii="Arial" w:eastAsia="Times New Roman" w:hAnsi="Arial" w:cs="Arial"/>
                <w:b/>
                <w:sz w:val="24"/>
                <w:szCs w:val="24"/>
              </w:rPr>
            </w:pPr>
          </w:p>
          <w:p w:rsidR="00607B8B" w:rsidRPr="007E652E" w:rsidRDefault="00607B8B" w:rsidP="006A508E">
            <w:pPr>
              <w:spacing w:before="240" w:after="240" w:line="360" w:lineRule="auto"/>
              <w:ind w:firstLine="6"/>
              <w:jc w:val="center"/>
              <w:rPr>
                <w:rFonts w:ascii="Arial" w:eastAsia="Times New Roman" w:hAnsi="Arial" w:cs="Arial"/>
                <w:b/>
                <w:sz w:val="24"/>
                <w:szCs w:val="24"/>
              </w:rPr>
            </w:pPr>
            <w:r w:rsidRPr="007E652E">
              <w:rPr>
                <w:rFonts w:ascii="Arial" w:eastAsia="Times New Roman" w:hAnsi="Arial" w:cs="Arial"/>
                <w:b/>
                <w:sz w:val="24"/>
                <w:szCs w:val="24"/>
              </w:rPr>
              <w:t>IMPACTO ECONÓMICO</w:t>
            </w: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607B8B" w:rsidRPr="007E652E" w:rsidRDefault="003B1E2C" w:rsidP="003B1E2C">
            <w:pPr>
              <w:spacing w:before="240" w:after="240" w:line="360" w:lineRule="auto"/>
              <w:jc w:val="both"/>
              <w:rPr>
                <w:rFonts w:ascii="Arial" w:eastAsia="Times New Roman" w:hAnsi="Arial" w:cs="Arial"/>
                <w:sz w:val="24"/>
                <w:szCs w:val="24"/>
                <w:lang w:val="es-ES_tradnl"/>
              </w:rPr>
            </w:pPr>
            <w:r w:rsidRPr="007E652E">
              <w:rPr>
                <w:rFonts w:ascii="Arial" w:eastAsia="Times New Roman" w:hAnsi="Arial" w:cs="Arial"/>
                <w:sz w:val="24"/>
                <w:szCs w:val="24"/>
              </w:rPr>
              <w:t>Se fomenta la competitividad de las empresas y organismos de investigación cuando encuentran entre sus activos información empresarial no divulgada y “saber hacer”. Además, se mejoran las condiciones y el marco para el desarrollo y la explotación de la innovación y la transferencia de conocimientos en el mercado interior.</w:t>
            </w:r>
          </w:p>
        </w:tc>
      </w:tr>
      <w:tr w:rsidR="007E652E" w:rsidRPr="007E652E" w:rsidTr="001F575C">
        <w:trPr>
          <w:trHeight w:val="14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607B8B" w:rsidRPr="007E652E" w:rsidRDefault="00607B8B" w:rsidP="006A508E">
            <w:pPr>
              <w:spacing w:before="240" w:after="240" w:line="360" w:lineRule="auto"/>
              <w:ind w:firstLine="6"/>
              <w:jc w:val="center"/>
              <w:rPr>
                <w:rFonts w:ascii="Arial" w:eastAsia="Times New Roman" w:hAnsi="Arial" w:cs="Arial"/>
                <w:b/>
                <w:sz w:val="24"/>
                <w:szCs w:val="24"/>
              </w:rPr>
            </w:pPr>
            <w:r w:rsidRPr="007E652E">
              <w:rPr>
                <w:rFonts w:ascii="Arial" w:eastAsia="Times New Roman" w:hAnsi="Arial" w:cs="Arial"/>
                <w:b/>
                <w:sz w:val="24"/>
                <w:szCs w:val="24"/>
              </w:rPr>
              <w:t>IMPACTO PRESUPUESTARIO</w:t>
            </w:r>
          </w:p>
        </w:tc>
        <w:tc>
          <w:tcPr>
            <w:tcW w:w="6494" w:type="dxa"/>
            <w:gridSpan w:val="4"/>
            <w:tcBorders>
              <w:top w:val="single" w:sz="4" w:space="0" w:color="auto"/>
              <w:left w:val="single" w:sz="4" w:space="0" w:color="auto"/>
              <w:bottom w:val="single" w:sz="4" w:space="0" w:color="auto"/>
              <w:right w:val="single" w:sz="12" w:space="0" w:color="auto"/>
            </w:tcBorders>
            <w:shd w:val="clear" w:color="auto" w:fill="FFCC99"/>
          </w:tcPr>
          <w:p w:rsidR="00607B8B" w:rsidRPr="007E652E" w:rsidRDefault="00607B8B"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No supondrá un incremento de dotaciones ni de retribuciones ni de otros gastos de personal.</w:t>
            </w:r>
          </w:p>
        </w:tc>
      </w:tr>
      <w:tr w:rsidR="007E652E" w:rsidRPr="007E652E" w:rsidTr="003B1E2C">
        <w:trPr>
          <w:trHeight w:val="3812"/>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607B8B" w:rsidRPr="007E652E" w:rsidRDefault="00607B8B" w:rsidP="006A508E">
            <w:pPr>
              <w:spacing w:before="240" w:after="240" w:line="360" w:lineRule="auto"/>
              <w:jc w:val="center"/>
              <w:rPr>
                <w:rFonts w:ascii="Arial" w:eastAsia="Times New Roman" w:hAnsi="Arial" w:cs="Arial"/>
                <w:b/>
                <w:caps/>
                <w:sz w:val="24"/>
                <w:szCs w:val="24"/>
              </w:rPr>
            </w:pPr>
            <w:r w:rsidRPr="007E652E">
              <w:rPr>
                <w:rFonts w:ascii="Arial" w:eastAsia="Times New Roman" w:hAnsi="Arial" w:cs="Arial"/>
                <w:b/>
                <w:caps/>
                <w:sz w:val="24"/>
                <w:szCs w:val="24"/>
              </w:rPr>
              <w:lastRenderedPageBreak/>
              <w:t>cargas administrativas</w:t>
            </w:r>
          </w:p>
          <w:p w:rsidR="003B1E2C" w:rsidRPr="007E652E" w:rsidRDefault="003B1E2C" w:rsidP="006A508E">
            <w:pPr>
              <w:spacing w:before="240" w:after="240" w:line="360" w:lineRule="auto"/>
              <w:jc w:val="center"/>
              <w:rPr>
                <w:rFonts w:ascii="Arial" w:eastAsia="Times New Roman" w:hAnsi="Arial" w:cs="Arial"/>
                <w:caps/>
                <w:sz w:val="24"/>
                <w:szCs w:val="24"/>
              </w:rPr>
            </w:pPr>
          </w:p>
        </w:tc>
        <w:tc>
          <w:tcPr>
            <w:tcW w:w="3247" w:type="dxa"/>
            <w:gridSpan w:val="2"/>
            <w:tcBorders>
              <w:top w:val="single" w:sz="4" w:space="0" w:color="auto"/>
              <w:left w:val="single" w:sz="4" w:space="0" w:color="auto"/>
              <w:bottom w:val="single" w:sz="4" w:space="0" w:color="auto"/>
              <w:right w:val="single" w:sz="4" w:space="0" w:color="auto"/>
            </w:tcBorders>
            <w:shd w:val="clear" w:color="auto" w:fill="FFCC99"/>
          </w:tcPr>
          <w:p w:rsidR="00607B8B" w:rsidRPr="007E652E" w:rsidRDefault="00607B8B"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Desde el punto de vista de las cargas administrativas</w:t>
            </w:r>
          </w:p>
          <w:p w:rsidR="00607B8B" w:rsidRPr="007E652E" w:rsidRDefault="00607B8B" w:rsidP="006A508E">
            <w:pPr>
              <w:spacing w:before="240" w:after="240" w:line="360" w:lineRule="auto"/>
              <w:ind w:firstLine="573"/>
              <w:jc w:val="both"/>
              <w:rPr>
                <w:rFonts w:ascii="Arial" w:eastAsia="Times New Roman" w:hAnsi="Arial" w:cs="Arial"/>
                <w:sz w:val="24"/>
                <w:szCs w:val="24"/>
              </w:rPr>
            </w:pPr>
          </w:p>
          <w:p w:rsidR="00607B8B" w:rsidRPr="007E652E" w:rsidRDefault="00607B8B" w:rsidP="006A508E">
            <w:pPr>
              <w:spacing w:before="240" w:after="240" w:line="360" w:lineRule="auto"/>
              <w:ind w:firstLine="573"/>
              <w:jc w:val="both"/>
              <w:rPr>
                <w:rFonts w:ascii="Arial" w:eastAsia="Times New Roman" w:hAnsi="Arial" w:cs="Arial"/>
                <w:sz w:val="24"/>
                <w:szCs w:val="24"/>
              </w:rPr>
            </w:pPr>
          </w:p>
          <w:p w:rsidR="00607B8B" w:rsidRPr="007E652E" w:rsidRDefault="00607B8B" w:rsidP="006A508E">
            <w:pPr>
              <w:spacing w:before="240" w:after="240" w:line="360" w:lineRule="auto"/>
              <w:ind w:firstLine="573"/>
              <w:jc w:val="both"/>
              <w:rPr>
                <w:rFonts w:ascii="Arial" w:eastAsia="Times New Roman" w:hAnsi="Arial" w:cs="Arial"/>
                <w:sz w:val="24"/>
                <w:szCs w:val="24"/>
              </w:rPr>
            </w:pPr>
          </w:p>
        </w:tc>
        <w:tc>
          <w:tcPr>
            <w:tcW w:w="3247" w:type="dxa"/>
            <w:gridSpan w:val="2"/>
            <w:tcBorders>
              <w:top w:val="single" w:sz="4" w:space="0" w:color="auto"/>
              <w:left w:val="single" w:sz="4" w:space="0" w:color="auto"/>
              <w:bottom w:val="single" w:sz="4" w:space="0" w:color="auto"/>
              <w:right w:val="single" w:sz="12" w:space="0" w:color="auto"/>
            </w:tcBorders>
            <w:shd w:val="clear" w:color="auto" w:fill="FFCC99"/>
          </w:tcPr>
          <w:p w:rsidR="00607B8B" w:rsidRPr="007E652E" w:rsidRDefault="00607B8B" w:rsidP="006A508E">
            <w:pPr>
              <w:spacing w:before="240" w:after="240" w:line="360" w:lineRule="auto"/>
              <w:ind w:firstLine="573"/>
              <w:jc w:val="both"/>
              <w:rPr>
                <w:rFonts w:ascii="Arial" w:eastAsia="Times New Roman" w:hAnsi="Arial" w:cs="Arial"/>
                <w:sz w:val="24"/>
                <w:szCs w:val="24"/>
              </w:rPr>
            </w:pPr>
            <w:r w:rsidRPr="007E652E">
              <w:rPr>
                <w:rFonts w:ascii="Arial" w:eastAsia="Times New Roman" w:hAnsi="Arial" w:cs="Arial"/>
                <w:sz w:val="24"/>
                <w:szCs w:val="24"/>
              </w:rPr>
              <w:fldChar w:fldCharType="begin">
                <w:ffData>
                  <w:name w:val=""/>
                  <w:enabled/>
                  <w:calcOnExit w:val="0"/>
                  <w:checkBox>
                    <w:sizeAuto/>
                    <w:default w:val="0"/>
                  </w:checkBox>
                </w:ffData>
              </w:fldChar>
            </w:r>
            <w:r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Pr="007E652E">
              <w:rPr>
                <w:rFonts w:ascii="Arial" w:eastAsia="Times New Roman" w:hAnsi="Arial" w:cs="Arial"/>
                <w:sz w:val="24"/>
                <w:szCs w:val="24"/>
              </w:rPr>
              <w:fldChar w:fldCharType="end"/>
            </w:r>
            <w:r w:rsidRPr="007E652E">
              <w:rPr>
                <w:rFonts w:ascii="Arial" w:eastAsia="Times New Roman" w:hAnsi="Arial" w:cs="Arial"/>
                <w:sz w:val="24"/>
                <w:szCs w:val="24"/>
              </w:rPr>
              <w:t xml:space="preserve">   Supone una reducción de cargas administrativas.</w:t>
            </w:r>
          </w:p>
          <w:p w:rsidR="00607B8B" w:rsidRPr="007E652E" w:rsidRDefault="00607B8B" w:rsidP="006A508E">
            <w:pPr>
              <w:spacing w:before="240" w:after="240" w:line="360" w:lineRule="auto"/>
              <w:ind w:firstLine="573"/>
              <w:jc w:val="both"/>
              <w:rPr>
                <w:rFonts w:ascii="Arial" w:eastAsia="Times New Roman" w:hAnsi="Arial" w:cs="Arial"/>
                <w:sz w:val="24"/>
                <w:szCs w:val="24"/>
              </w:rPr>
            </w:pPr>
            <w:r w:rsidRPr="007E652E">
              <w:rPr>
                <w:rFonts w:ascii="Arial" w:eastAsia="Times New Roman" w:hAnsi="Arial" w:cs="Arial"/>
                <w:sz w:val="24"/>
                <w:szCs w:val="24"/>
              </w:rPr>
              <w:fldChar w:fldCharType="begin">
                <w:ffData>
                  <w:name w:val=""/>
                  <w:enabled/>
                  <w:calcOnExit w:val="0"/>
                  <w:checkBox>
                    <w:sizeAuto/>
                    <w:default w:val="0"/>
                  </w:checkBox>
                </w:ffData>
              </w:fldChar>
            </w:r>
            <w:r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Pr="007E652E">
              <w:rPr>
                <w:rFonts w:ascii="Arial" w:eastAsia="Times New Roman" w:hAnsi="Arial" w:cs="Arial"/>
                <w:sz w:val="24"/>
                <w:szCs w:val="24"/>
              </w:rPr>
              <w:fldChar w:fldCharType="end"/>
            </w:r>
            <w:r w:rsidRPr="007E652E">
              <w:rPr>
                <w:rFonts w:ascii="Arial" w:eastAsia="Times New Roman" w:hAnsi="Arial" w:cs="Arial"/>
                <w:sz w:val="24"/>
                <w:szCs w:val="24"/>
              </w:rPr>
              <w:t xml:space="preserve"> Incorpora nuevas cargas administrativas.</w:t>
            </w:r>
          </w:p>
          <w:p w:rsidR="00607B8B" w:rsidRPr="007E652E" w:rsidRDefault="00607B8B" w:rsidP="006A508E">
            <w:pPr>
              <w:spacing w:before="240" w:after="240" w:line="360" w:lineRule="auto"/>
              <w:ind w:firstLine="573"/>
              <w:jc w:val="both"/>
              <w:rPr>
                <w:rFonts w:ascii="Arial" w:eastAsia="Times New Roman" w:hAnsi="Arial" w:cs="Arial"/>
                <w:sz w:val="24"/>
                <w:szCs w:val="24"/>
              </w:rPr>
            </w:pPr>
            <w:r w:rsidRPr="007E652E">
              <w:rPr>
                <w:rFonts w:ascii="Arial" w:eastAsia="Times New Roman" w:hAnsi="Arial" w:cs="Arial"/>
                <w:sz w:val="24"/>
                <w:szCs w:val="24"/>
              </w:rPr>
              <w:fldChar w:fldCharType="begin">
                <w:ffData>
                  <w:name w:val="Casilla14"/>
                  <w:enabled/>
                  <w:calcOnExit w:val="0"/>
                  <w:checkBox>
                    <w:sizeAuto/>
                    <w:default w:val="1"/>
                  </w:checkBox>
                </w:ffData>
              </w:fldChar>
            </w:r>
            <w:r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Pr="007E652E">
              <w:rPr>
                <w:rFonts w:ascii="Arial" w:eastAsia="Times New Roman" w:hAnsi="Arial" w:cs="Arial"/>
                <w:sz w:val="24"/>
                <w:szCs w:val="24"/>
              </w:rPr>
              <w:fldChar w:fldCharType="end"/>
            </w:r>
            <w:r w:rsidRPr="007E652E">
              <w:rPr>
                <w:rFonts w:ascii="Arial" w:eastAsia="Times New Roman" w:hAnsi="Arial" w:cs="Arial"/>
                <w:sz w:val="24"/>
                <w:szCs w:val="24"/>
              </w:rPr>
              <w:t xml:space="preserve">  no afecta a las cargas administrativas</w:t>
            </w:r>
          </w:p>
        </w:tc>
      </w:tr>
      <w:tr w:rsidR="007E652E" w:rsidRPr="007E652E" w:rsidTr="00B605EE">
        <w:trPr>
          <w:trHeight w:val="1915"/>
        </w:trPr>
        <w:tc>
          <w:tcPr>
            <w:tcW w:w="3247" w:type="dxa"/>
            <w:gridSpan w:val="2"/>
            <w:tcBorders>
              <w:top w:val="single" w:sz="4" w:space="0" w:color="auto"/>
              <w:left w:val="single" w:sz="12" w:space="0" w:color="auto"/>
              <w:bottom w:val="single" w:sz="4" w:space="0" w:color="auto"/>
              <w:right w:val="single" w:sz="4" w:space="0" w:color="auto"/>
            </w:tcBorders>
            <w:shd w:val="clear" w:color="auto" w:fill="FFFFCC"/>
          </w:tcPr>
          <w:p w:rsidR="00607B8B" w:rsidRPr="007E652E" w:rsidRDefault="00607B8B" w:rsidP="006A508E">
            <w:pPr>
              <w:spacing w:before="240" w:after="240" w:line="360" w:lineRule="auto"/>
              <w:ind w:firstLine="6"/>
              <w:jc w:val="center"/>
              <w:rPr>
                <w:rFonts w:ascii="Arial" w:eastAsia="Times New Roman" w:hAnsi="Arial" w:cs="Arial"/>
                <w:b/>
                <w:sz w:val="24"/>
                <w:szCs w:val="24"/>
              </w:rPr>
            </w:pPr>
            <w:r w:rsidRPr="007E652E">
              <w:rPr>
                <w:rFonts w:ascii="Arial" w:eastAsia="Times New Roman" w:hAnsi="Arial" w:cs="Arial"/>
                <w:b/>
                <w:sz w:val="24"/>
                <w:szCs w:val="24"/>
              </w:rPr>
              <w:t>IMPACTO DE GÉNERO</w:t>
            </w:r>
          </w:p>
        </w:tc>
        <w:tc>
          <w:tcPr>
            <w:tcW w:w="3247" w:type="dxa"/>
            <w:gridSpan w:val="2"/>
            <w:tcBorders>
              <w:top w:val="single" w:sz="4" w:space="0" w:color="auto"/>
              <w:left w:val="single" w:sz="4" w:space="0" w:color="auto"/>
              <w:bottom w:val="single" w:sz="4" w:space="0" w:color="auto"/>
              <w:right w:val="single" w:sz="4" w:space="0" w:color="auto"/>
            </w:tcBorders>
            <w:shd w:val="clear" w:color="auto" w:fill="FFCC99"/>
          </w:tcPr>
          <w:p w:rsidR="00607B8B" w:rsidRPr="007E652E" w:rsidRDefault="00607B8B" w:rsidP="006A508E">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La norma tiene un impacto de género</w:t>
            </w:r>
          </w:p>
        </w:tc>
        <w:tc>
          <w:tcPr>
            <w:tcW w:w="3247" w:type="dxa"/>
            <w:gridSpan w:val="2"/>
            <w:tcBorders>
              <w:top w:val="single" w:sz="4" w:space="0" w:color="auto"/>
              <w:left w:val="single" w:sz="4" w:space="0" w:color="auto"/>
              <w:bottom w:val="single" w:sz="4" w:space="0" w:color="auto"/>
              <w:right w:val="single" w:sz="12" w:space="0" w:color="auto"/>
            </w:tcBorders>
            <w:shd w:val="clear" w:color="auto" w:fill="FFCC99"/>
          </w:tcPr>
          <w:p w:rsidR="00607B8B" w:rsidRPr="007E652E" w:rsidRDefault="00607B8B" w:rsidP="006A508E">
            <w:pPr>
              <w:spacing w:before="240" w:after="240" w:line="360" w:lineRule="auto"/>
              <w:ind w:firstLine="573"/>
              <w:jc w:val="right"/>
              <w:rPr>
                <w:rFonts w:ascii="Arial" w:eastAsia="Times New Roman" w:hAnsi="Arial" w:cs="Arial"/>
                <w:sz w:val="24"/>
                <w:szCs w:val="24"/>
              </w:rPr>
            </w:pPr>
            <w:r w:rsidRPr="007E652E">
              <w:rPr>
                <w:rFonts w:ascii="Arial" w:eastAsia="Times New Roman" w:hAnsi="Arial" w:cs="Arial"/>
                <w:sz w:val="24"/>
                <w:szCs w:val="24"/>
              </w:rPr>
              <w:t xml:space="preserve">Negativo </w:t>
            </w:r>
            <w:r w:rsidRPr="007E652E">
              <w:rPr>
                <w:rFonts w:ascii="Arial" w:eastAsia="Times New Roman" w:hAnsi="Arial" w:cs="Arial"/>
                <w:sz w:val="24"/>
                <w:szCs w:val="24"/>
              </w:rPr>
              <w:fldChar w:fldCharType="begin">
                <w:ffData>
                  <w:name w:val="Casilla11"/>
                  <w:enabled/>
                  <w:calcOnExit w:val="0"/>
                  <w:checkBox>
                    <w:sizeAuto/>
                    <w:default w:val="0"/>
                  </w:checkBox>
                </w:ffData>
              </w:fldChar>
            </w:r>
            <w:bookmarkStart w:id="3" w:name="Casilla11"/>
            <w:r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Pr="007E652E">
              <w:rPr>
                <w:rFonts w:ascii="Arial" w:eastAsia="Times New Roman" w:hAnsi="Arial" w:cs="Arial"/>
                <w:sz w:val="24"/>
                <w:szCs w:val="24"/>
              </w:rPr>
              <w:fldChar w:fldCharType="end"/>
            </w:r>
            <w:bookmarkEnd w:id="3"/>
          </w:p>
          <w:p w:rsidR="00607B8B" w:rsidRPr="007E652E" w:rsidRDefault="00607B8B" w:rsidP="006A508E">
            <w:pPr>
              <w:spacing w:before="240" w:after="240" w:line="360" w:lineRule="auto"/>
              <w:ind w:firstLine="573"/>
              <w:jc w:val="right"/>
              <w:rPr>
                <w:rFonts w:ascii="Arial" w:eastAsia="Times New Roman" w:hAnsi="Arial" w:cs="Arial"/>
                <w:sz w:val="24"/>
                <w:szCs w:val="24"/>
              </w:rPr>
            </w:pPr>
            <w:r w:rsidRPr="007E652E">
              <w:rPr>
                <w:rFonts w:ascii="Arial" w:eastAsia="Times New Roman" w:hAnsi="Arial" w:cs="Arial"/>
                <w:sz w:val="24"/>
                <w:szCs w:val="24"/>
              </w:rPr>
              <w:t xml:space="preserve">Nulo  </w:t>
            </w:r>
            <w:r w:rsidRPr="007E652E">
              <w:rPr>
                <w:rFonts w:ascii="Arial" w:eastAsia="Times New Roman" w:hAnsi="Arial" w:cs="Arial"/>
                <w:sz w:val="24"/>
                <w:szCs w:val="24"/>
              </w:rPr>
              <w:fldChar w:fldCharType="begin">
                <w:ffData>
                  <w:name w:val=""/>
                  <w:enabled/>
                  <w:calcOnExit w:val="0"/>
                  <w:checkBox>
                    <w:sizeAuto/>
                    <w:default w:val="1"/>
                  </w:checkBox>
                </w:ffData>
              </w:fldChar>
            </w:r>
            <w:r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Pr="007E652E">
              <w:rPr>
                <w:rFonts w:ascii="Arial" w:eastAsia="Times New Roman" w:hAnsi="Arial" w:cs="Arial"/>
                <w:sz w:val="24"/>
                <w:szCs w:val="24"/>
              </w:rPr>
              <w:fldChar w:fldCharType="end"/>
            </w:r>
          </w:p>
          <w:p w:rsidR="00607B8B" w:rsidRPr="007E652E" w:rsidRDefault="00607B8B" w:rsidP="003B1E2C">
            <w:pPr>
              <w:spacing w:before="240" w:after="240" w:line="360" w:lineRule="auto"/>
              <w:ind w:firstLine="573"/>
              <w:jc w:val="right"/>
              <w:rPr>
                <w:rFonts w:ascii="Arial" w:eastAsia="Times New Roman" w:hAnsi="Arial" w:cs="Arial"/>
                <w:sz w:val="24"/>
                <w:szCs w:val="24"/>
              </w:rPr>
            </w:pPr>
            <w:r w:rsidRPr="007E652E">
              <w:rPr>
                <w:rFonts w:ascii="Arial" w:eastAsia="Times New Roman" w:hAnsi="Arial" w:cs="Arial"/>
                <w:sz w:val="24"/>
                <w:szCs w:val="24"/>
              </w:rPr>
              <w:t xml:space="preserve">Positivo </w:t>
            </w:r>
            <w:r w:rsidRPr="007E652E">
              <w:rPr>
                <w:rFonts w:ascii="Arial" w:eastAsia="Times New Roman" w:hAnsi="Arial" w:cs="Arial"/>
                <w:sz w:val="24"/>
                <w:szCs w:val="24"/>
              </w:rPr>
              <w:fldChar w:fldCharType="begin">
                <w:ffData>
                  <w:name w:val=""/>
                  <w:enabled/>
                  <w:calcOnExit w:val="0"/>
                  <w:checkBox>
                    <w:sizeAuto/>
                    <w:default w:val="0"/>
                  </w:checkBox>
                </w:ffData>
              </w:fldChar>
            </w:r>
            <w:r w:rsidRPr="007E652E">
              <w:rPr>
                <w:rFonts w:ascii="Arial" w:eastAsia="Times New Roman" w:hAnsi="Arial" w:cs="Arial"/>
                <w:sz w:val="24"/>
                <w:szCs w:val="24"/>
              </w:rPr>
              <w:instrText xml:space="preserve"> FORMCHECKBOX </w:instrText>
            </w:r>
            <w:r w:rsidR="007310D4">
              <w:rPr>
                <w:rFonts w:ascii="Arial" w:eastAsia="Times New Roman" w:hAnsi="Arial" w:cs="Arial"/>
                <w:sz w:val="24"/>
                <w:szCs w:val="24"/>
              </w:rPr>
            </w:r>
            <w:r w:rsidR="007310D4">
              <w:rPr>
                <w:rFonts w:ascii="Arial" w:eastAsia="Times New Roman" w:hAnsi="Arial" w:cs="Arial"/>
                <w:sz w:val="24"/>
                <w:szCs w:val="24"/>
              </w:rPr>
              <w:fldChar w:fldCharType="separate"/>
            </w:r>
            <w:r w:rsidRPr="007E652E">
              <w:rPr>
                <w:rFonts w:ascii="Arial" w:eastAsia="Times New Roman" w:hAnsi="Arial" w:cs="Arial"/>
                <w:sz w:val="24"/>
                <w:szCs w:val="24"/>
              </w:rPr>
              <w:fldChar w:fldCharType="end"/>
            </w:r>
          </w:p>
        </w:tc>
      </w:tr>
    </w:tbl>
    <w:p w:rsidR="00F7415C" w:rsidRPr="007E652E" w:rsidRDefault="00F7415C" w:rsidP="006A508E">
      <w:pPr>
        <w:spacing w:before="240" w:after="240" w:line="360" w:lineRule="auto"/>
        <w:rPr>
          <w:rFonts w:ascii="Arial" w:eastAsia="Times New Roman" w:hAnsi="Arial" w:cs="Arial"/>
          <w:sz w:val="24"/>
          <w:szCs w:val="24"/>
          <w:lang w:eastAsia="es-ES"/>
        </w:rPr>
        <w:sectPr w:rsidR="00F7415C" w:rsidRPr="007E652E" w:rsidSect="00614F2F">
          <w:type w:val="continuous"/>
          <w:pgSz w:w="11906" w:h="16838"/>
          <w:pgMar w:top="1417" w:right="1133" w:bottom="1417" w:left="1701" w:header="708" w:footer="708" w:gutter="0"/>
          <w:cols w:space="720"/>
        </w:sectPr>
      </w:pPr>
    </w:p>
    <w:p w:rsidR="00F7415C" w:rsidRPr="007E652E" w:rsidRDefault="00F7415C" w:rsidP="006A508E">
      <w:pPr>
        <w:spacing w:before="240" w:after="240" w:line="360" w:lineRule="auto"/>
        <w:jc w:val="center"/>
        <w:rPr>
          <w:rFonts w:ascii="Arial" w:eastAsia="Times New Roman" w:hAnsi="Arial" w:cs="Arial"/>
          <w:sz w:val="24"/>
          <w:szCs w:val="24"/>
          <w:lang w:eastAsia="es-ES"/>
        </w:rPr>
      </w:pPr>
      <w:r w:rsidRPr="007E652E">
        <w:rPr>
          <w:rFonts w:ascii="Arial" w:eastAsia="Times New Roman" w:hAnsi="Arial" w:cs="Arial"/>
          <w:b/>
          <w:sz w:val="24"/>
          <w:szCs w:val="24"/>
          <w:u w:val="single"/>
          <w:lang w:eastAsia="es-ES"/>
        </w:rPr>
        <w:lastRenderedPageBreak/>
        <w:t>MEMORIA DEL ANÁLISIS DE IMPACTO NORMATIVO D</w:t>
      </w:r>
      <w:r w:rsidR="00701BA5" w:rsidRPr="007E652E">
        <w:rPr>
          <w:rFonts w:ascii="Arial" w:eastAsia="Times New Roman" w:hAnsi="Arial" w:cs="Arial"/>
          <w:b/>
          <w:sz w:val="24"/>
          <w:szCs w:val="24"/>
          <w:u w:val="single"/>
          <w:lang w:eastAsia="es-ES"/>
        </w:rPr>
        <w:t xml:space="preserve">EL </w:t>
      </w:r>
      <w:r w:rsidR="00984F9B" w:rsidRPr="007E652E">
        <w:rPr>
          <w:rFonts w:ascii="Arial" w:eastAsia="Times New Roman" w:hAnsi="Arial" w:cs="Arial"/>
          <w:b/>
          <w:sz w:val="24"/>
          <w:szCs w:val="24"/>
          <w:u w:val="single"/>
        </w:rPr>
        <w:t xml:space="preserve">ANTEPROYECTO DE LEY </w:t>
      </w:r>
      <w:r w:rsidR="004F4ABE" w:rsidRPr="007E652E">
        <w:rPr>
          <w:rFonts w:ascii="Arial" w:eastAsia="Times New Roman" w:hAnsi="Arial" w:cs="Arial"/>
          <w:b/>
          <w:sz w:val="24"/>
          <w:szCs w:val="24"/>
          <w:u w:val="single"/>
        </w:rPr>
        <w:t>DE</w:t>
      </w:r>
      <w:r w:rsidR="00984F9B" w:rsidRPr="007E652E">
        <w:rPr>
          <w:rFonts w:ascii="Arial" w:eastAsia="Times New Roman" w:hAnsi="Arial" w:cs="Arial"/>
          <w:b/>
          <w:sz w:val="24"/>
          <w:szCs w:val="24"/>
          <w:u w:val="single"/>
        </w:rPr>
        <w:t xml:space="preserve"> SECRETOS EMPRESARIALES</w:t>
      </w:r>
      <w:r w:rsidR="007C3A05" w:rsidRPr="007E652E">
        <w:rPr>
          <w:rFonts w:ascii="Arial" w:eastAsia="Calibri" w:hAnsi="Arial" w:cs="Arial"/>
          <w:b/>
          <w:sz w:val="24"/>
          <w:szCs w:val="24"/>
          <w:u w:val="single"/>
        </w:rPr>
        <w:t>.</w:t>
      </w:r>
    </w:p>
    <w:p w:rsidR="00F7415C" w:rsidRPr="007E652E" w:rsidRDefault="00F7415C" w:rsidP="006A508E">
      <w:pPr>
        <w:spacing w:before="240" w:after="240" w:line="360" w:lineRule="auto"/>
        <w:jc w:val="both"/>
        <w:rPr>
          <w:rFonts w:ascii="Arial" w:eastAsia="Times New Roman" w:hAnsi="Arial" w:cs="Arial"/>
          <w:sz w:val="24"/>
          <w:szCs w:val="24"/>
          <w:lang w:eastAsia="es-ES"/>
        </w:rPr>
      </w:pPr>
    </w:p>
    <w:p w:rsidR="00F7415C" w:rsidRPr="007E652E" w:rsidRDefault="00F741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Efectuada con arreglo a la Guía Metodológica, aprobada por Acuerdo del Consejo de Ministros de 11 de diciembre de 2009, tal y como  prevé la </w:t>
      </w:r>
      <w:r w:rsidR="000A5CA3" w:rsidRPr="007E652E">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isposición adicional primera del </w:t>
      </w:r>
      <w:r w:rsidR="00984F9B" w:rsidRPr="007E652E">
        <w:rPr>
          <w:rFonts w:ascii="Arial" w:eastAsia="Times New Roman" w:hAnsi="Arial" w:cs="Arial"/>
          <w:sz w:val="24"/>
          <w:szCs w:val="24"/>
          <w:lang w:eastAsia="es-ES"/>
        </w:rPr>
        <w:t>Real Decreto 931/2017, de 27 de octubre, por el que se regula la Memoria del Análisis de Impacto Normativo</w:t>
      </w:r>
      <w:r w:rsidRPr="007E652E">
        <w:rPr>
          <w:rFonts w:ascii="Arial" w:eastAsia="Times New Roman" w:hAnsi="Arial" w:cs="Arial"/>
          <w:sz w:val="24"/>
          <w:szCs w:val="24"/>
          <w:lang w:eastAsia="es-ES"/>
        </w:rPr>
        <w:t>.</w:t>
      </w:r>
    </w:p>
    <w:p w:rsidR="00F7415C" w:rsidRPr="007E652E" w:rsidRDefault="00F741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Dado que se derivan impactos apreciables en los ámbitos señalados, de acuerdo con lo dispuesto en el artículo 3 del citado </w:t>
      </w:r>
      <w:r w:rsidR="001F7206" w:rsidRPr="007E652E">
        <w:rPr>
          <w:rFonts w:ascii="Arial" w:eastAsia="Times New Roman" w:hAnsi="Arial" w:cs="Arial"/>
          <w:sz w:val="24"/>
          <w:szCs w:val="24"/>
          <w:lang w:eastAsia="es-ES"/>
        </w:rPr>
        <w:t>r</w:t>
      </w:r>
      <w:r w:rsidRPr="007E652E">
        <w:rPr>
          <w:rFonts w:ascii="Arial" w:eastAsia="Times New Roman" w:hAnsi="Arial" w:cs="Arial"/>
          <w:sz w:val="24"/>
          <w:szCs w:val="24"/>
          <w:lang w:eastAsia="es-ES"/>
        </w:rPr>
        <w:t xml:space="preserve">eal </w:t>
      </w:r>
      <w:r w:rsidR="001F7206" w:rsidRPr="007E652E">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ecreto, procede realizar una </w:t>
      </w:r>
      <w:r w:rsidRPr="007E652E">
        <w:rPr>
          <w:rFonts w:ascii="Arial" w:eastAsia="Times New Roman" w:hAnsi="Arial" w:cs="Arial"/>
          <w:b/>
          <w:sz w:val="24"/>
          <w:szCs w:val="24"/>
          <w:lang w:eastAsia="es-ES"/>
        </w:rPr>
        <w:t>Memoria extensa</w:t>
      </w:r>
      <w:r w:rsidRPr="007E652E">
        <w:rPr>
          <w:rFonts w:ascii="Arial" w:eastAsia="Times New Roman" w:hAnsi="Arial" w:cs="Arial"/>
          <w:sz w:val="24"/>
          <w:szCs w:val="24"/>
          <w:lang w:eastAsia="es-ES"/>
        </w:rPr>
        <w:t xml:space="preserve"> y no abreviada.</w:t>
      </w:r>
    </w:p>
    <w:p w:rsidR="00F7415C" w:rsidRPr="007E652E" w:rsidRDefault="00F7415C" w:rsidP="006A508E">
      <w:pPr>
        <w:spacing w:before="240" w:after="240" w:line="360" w:lineRule="auto"/>
        <w:jc w:val="both"/>
        <w:rPr>
          <w:rFonts w:ascii="Arial" w:eastAsia="Times New Roman" w:hAnsi="Arial" w:cs="Arial"/>
          <w:sz w:val="24"/>
          <w:szCs w:val="24"/>
          <w:lang w:eastAsia="es-ES"/>
        </w:rPr>
      </w:pPr>
    </w:p>
    <w:p w:rsidR="008C775C" w:rsidRPr="007E652E" w:rsidRDefault="00587B19" w:rsidP="00DB4BE4">
      <w:pPr>
        <w:pStyle w:val="Ttulo1"/>
        <w:rPr>
          <w:szCs w:val="24"/>
          <w:u w:val="single"/>
        </w:rPr>
      </w:pPr>
      <w:bookmarkStart w:id="4" w:name="Casilla1"/>
      <w:bookmarkStart w:id="5" w:name="_Toc511982514"/>
      <w:r w:rsidRPr="007E652E">
        <w:rPr>
          <w:szCs w:val="24"/>
          <w:u w:val="single"/>
        </w:rPr>
        <w:t>1.</w:t>
      </w:r>
      <w:r w:rsidR="008C775C" w:rsidRPr="007E652E">
        <w:rPr>
          <w:szCs w:val="24"/>
          <w:u w:val="single"/>
        </w:rPr>
        <w:t xml:space="preserve"> OPORTUNIDAD DE LA PROPUESTA</w:t>
      </w:r>
      <w:bookmarkEnd w:id="4"/>
      <w:bookmarkEnd w:id="5"/>
    </w:p>
    <w:p w:rsidR="00355B53" w:rsidRPr="007E652E" w:rsidRDefault="00F7415C" w:rsidP="00F11D45">
      <w:pPr>
        <w:spacing w:before="240" w:after="240" w:line="360" w:lineRule="auto"/>
        <w:jc w:val="both"/>
        <w:rPr>
          <w:rFonts w:ascii="Arial" w:eastAsia="Times New Roman" w:hAnsi="Arial" w:cs="Arial"/>
          <w:sz w:val="24"/>
          <w:szCs w:val="24"/>
          <w:lang w:eastAsia="es-ES"/>
        </w:rPr>
      </w:pPr>
      <w:r w:rsidRPr="007E652E">
        <w:rPr>
          <w:rFonts w:ascii="Arial" w:eastAsia="Times New Roman" w:hAnsi="Arial" w:cs="Arial"/>
          <w:b/>
          <w:sz w:val="24"/>
          <w:szCs w:val="24"/>
          <w:lang w:eastAsia="es-ES"/>
        </w:rPr>
        <w:tab/>
      </w:r>
      <w:r w:rsidR="00F61278" w:rsidRPr="007E652E">
        <w:rPr>
          <w:rFonts w:ascii="Arial" w:eastAsia="Times New Roman" w:hAnsi="Arial" w:cs="Arial"/>
          <w:sz w:val="24"/>
          <w:szCs w:val="24"/>
          <w:lang w:eastAsia="es-ES"/>
        </w:rPr>
        <w:t>La oportunidad de la propuesta tiene su origen en la necesidad</w:t>
      </w:r>
      <w:r w:rsidRPr="007E652E">
        <w:rPr>
          <w:rFonts w:ascii="Arial" w:eastAsia="Times New Roman" w:hAnsi="Arial" w:cs="Arial"/>
          <w:sz w:val="24"/>
          <w:szCs w:val="24"/>
          <w:lang w:eastAsia="es-ES"/>
        </w:rPr>
        <w:t xml:space="preserve"> </w:t>
      </w:r>
      <w:r w:rsidR="00F61278" w:rsidRPr="007E652E">
        <w:rPr>
          <w:rFonts w:ascii="Arial" w:eastAsia="Times New Roman" w:hAnsi="Arial" w:cs="Arial"/>
          <w:sz w:val="24"/>
          <w:szCs w:val="24"/>
          <w:lang w:eastAsia="es-ES"/>
        </w:rPr>
        <w:t>de</w:t>
      </w:r>
      <w:r w:rsidR="00F61278" w:rsidRPr="007E652E">
        <w:rPr>
          <w:rFonts w:ascii="Arial" w:eastAsia="Times New Roman" w:hAnsi="Arial" w:cs="Arial"/>
          <w:b/>
          <w:sz w:val="24"/>
          <w:szCs w:val="24"/>
          <w:lang w:eastAsia="es-ES"/>
        </w:rPr>
        <w:t xml:space="preserve"> </w:t>
      </w:r>
      <w:r w:rsidR="00C22697" w:rsidRPr="007E652E">
        <w:rPr>
          <w:rFonts w:ascii="Arial" w:eastAsia="Times New Roman" w:hAnsi="Arial" w:cs="Arial"/>
          <w:sz w:val="24"/>
          <w:szCs w:val="24"/>
          <w:lang w:val="es-ES_tradnl" w:eastAsia="es-ES"/>
        </w:rPr>
        <w:t>cumplir</w:t>
      </w:r>
      <w:r w:rsidR="00F61278" w:rsidRPr="007E652E">
        <w:rPr>
          <w:rFonts w:ascii="Arial" w:eastAsia="Times New Roman" w:hAnsi="Arial" w:cs="Arial"/>
          <w:sz w:val="24"/>
          <w:szCs w:val="24"/>
          <w:lang w:val="es-ES_tradnl" w:eastAsia="es-ES"/>
        </w:rPr>
        <w:t xml:space="preserve"> con las obligacione</w:t>
      </w:r>
      <w:r w:rsidR="003D2985" w:rsidRPr="007E652E">
        <w:rPr>
          <w:rFonts w:ascii="Arial" w:eastAsia="Times New Roman" w:hAnsi="Arial" w:cs="Arial"/>
          <w:sz w:val="24"/>
          <w:szCs w:val="24"/>
          <w:lang w:val="es-ES_tradnl" w:eastAsia="es-ES"/>
        </w:rPr>
        <w:t>s derivadas de la pertenencia de</w:t>
      </w:r>
      <w:r w:rsidR="00F61278" w:rsidRPr="007E652E">
        <w:rPr>
          <w:rFonts w:ascii="Arial" w:eastAsia="Times New Roman" w:hAnsi="Arial" w:cs="Arial"/>
          <w:sz w:val="24"/>
          <w:szCs w:val="24"/>
          <w:lang w:val="es-ES_tradnl" w:eastAsia="es-ES"/>
        </w:rPr>
        <w:t xml:space="preserve"> España a la Unión Europea, </w:t>
      </w:r>
      <w:r w:rsidR="00F61278" w:rsidRPr="007E652E">
        <w:rPr>
          <w:rFonts w:ascii="Arial" w:eastAsia="Times New Roman" w:hAnsi="Arial" w:cs="Arial"/>
          <w:sz w:val="24"/>
          <w:szCs w:val="24"/>
          <w:lang w:eastAsia="es-ES"/>
        </w:rPr>
        <w:t>trasponiendo</w:t>
      </w:r>
      <w:r w:rsidR="006D1CA4" w:rsidRPr="007E652E">
        <w:rPr>
          <w:rFonts w:ascii="Arial" w:eastAsia="Times New Roman" w:hAnsi="Arial" w:cs="Arial"/>
          <w:sz w:val="24"/>
          <w:szCs w:val="24"/>
          <w:lang w:eastAsia="es-ES"/>
        </w:rPr>
        <w:t xml:space="preserve"> </w:t>
      </w:r>
      <w:r w:rsidR="00E62705" w:rsidRPr="007E652E">
        <w:rPr>
          <w:rFonts w:ascii="Arial" w:eastAsia="Times New Roman" w:hAnsi="Arial" w:cs="Arial"/>
          <w:sz w:val="24"/>
          <w:szCs w:val="24"/>
          <w:lang w:eastAsia="es-ES"/>
        </w:rPr>
        <w:t xml:space="preserve">la </w:t>
      </w:r>
      <w:r w:rsidR="00B15837" w:rsidRPr="007E652E">
        <w:rPr>
          <w:rFonts w:ascii="Arial" w:eastAsia="Times New Roman" w:hAnsi="Arial" w:cs="Arial"/>
          <w:sz w:val="24"/>
          <w:szCs w:val="24"/>
          <w:lang w:eastAsia="es-ES"/>
        </w:rPr>
        <w:t>D</w:t>
      </w:r>
      <w:r w:rsidR="008C775C" w:rsidRPr="007E652E">
        <w:rPr>
          <w:rFonts w:ascii="Arial" w:eastAsia="Times New Roman" w:hAnsi="Arial" w:cs="Arial"/>
          <w:sz w:val="24"/>
          <w:szCs w:val="24"/>
          <w:lang w:eastAsia="es-ES"/>
        </w:rPr>
        <w:t>irectiva (UE) 2016/943 del Parlamento Europeo y del Consejo</w:t>
      </w:r>
      <w:r w:rsidR="001F7206" w:rsidRPr="007E652E">
        <w:rPr>
          <w:rFonts w:ascii="Arial" w:eastAsia="Times New Roman" w:hAnsi="Arial" w:cs="Arial"/>
          <w:sz w:val="24"/>
          <w:szCs w:val="24"/>
          <w:lang w:eastAsia="es-ES"/>
        </w:rPr>
        <w:t>,</w:t>
      </w:r>
      <w:r w:rsidR="008C775C" w:rsidRPr="007E652E">
        <w:rPr>
          <w:rFonts w:ascii="Arial" w:eastAsia="Times New Roman" w:hAnsi="Arial" w:cs="Arial"/>
          <w:sz w:val="24"/>
          <w:szCs w:val="24"/>
          <w:lang w:eastAsia="es-ES"/>
        </w:rPr>
        <w:t xml:space="preserve"> de 8 de junio de 2016</w:t>
      </w:r>
      <w:r w:rsidR="001F7206" w:rsidRPr="007E652E">
        <w:rPr>
          <w:rFonts w:ascii="Arial" w:eastAsia="Times New Roman" w:hAnsi="Arial" w:cs="Arial"/>
          <w:sz w:val="24"/>
          <w:szCs w:val="24"/>
          <w:lang w:eastAsia="es-ES"/>
        </w:rPr>
        <w:t>,</w:t>
      </w:r>
      <w:r w:rsidR="008C775C" w:rsidRPr="007E652E">
        <w:rPr>
          <w:rFonts w:ascii="Arial" w:eastAsia="Times New Roman" w:hAnsi="Arial" w:cs="Arial"/>
          <w:sz w:val="24"/>
          <w:szCs w:val="24"/>
          <w:lang w:eastAsia="es-ES"/>
        </w:rPr>
        <w:t xml:space="preserve"> relativa a la protección de los conocimientos técnicos y la información empresarial no divulgados (secretos </w:t>
      </w:r>
      <w:r w:rsidR="001F7206" w:rsidRPr="007E652E">
        <w:rPr>
          <w:rFonts w:ascii="Arial" w:eastAsia="Times New Roman" w:hAnsi="Arial" w:cs="Arial"/>
          <w:sz w:val="24"/>
          <w:szCs w:val="24"/>
          <w:lang w:eastAsia="es-ES"/>
        </w:rPr>
        <w:t>comerciales</w:t>
      </w:r>
      <w:r w:rsidR="008C775C" w:rsidRPr="007E652E">
        <w:rPr>
          <w:rFonts w:ascii="Arial" w:eastAsia="Times New Roman" w:hAnsi="Arial" w:cs="Arial"/>
          <w:sz w:val="24"/>
          <w:szCs w:val="24"/>
          <w:lang w:eastAsia="es-ES"/>
        </w:rPr>
        <w:t>) contra su obtención, utilización y revelación ilícitas.</w:t>
      </w:r>
    </w:p>
    <w:p w:rsidR="001F7206" w:rsidRPr="007E652E" w:rsidRDefault="009D73C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La cuestión de los secretos </w:t>
      </w:r>
      <w:r w:rsidR="00F550CC"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siempre se ha considerado como un complemento o una alternativa a la protección jurídica de las creaciones intelectuales (entendidas en sentido amplio). Ya en el marco del Acuerdo sobre los Aspectos de los Derechos de Propiedad intelectual relacionados con el Comercio (Anexo 1C del Convenio por el que se crea la Organización Mundial del Comercio, Ronda Uruguay de 1994, comúnmente, denominados «ADPIC») se incluían expresas previsiones normativas acerca de dicha protección a fin de evitar la obtención, utilización o revelación ilícita de un secreto industrial o comercial por terceros.</w:t>
      </w:r>
      <w:r w:rsidR="001F7206" w:rsidRPr="007E652E">
        <w:rPr>
          <w:rFonts w:ascii="Arial" w:eastAsia="Times New Roman" w:hAnsi="Arial" w:cs="Arial"/>
          <w:sz w:val="24"/>
          <w:szCs w:val="24"/>
          <w:lang w:eastAsia="es-ES"/>
        </w:rPr>
        <w:t xml:space="preserve"> </w:t>
      </w:r>
    </w:p>
    <w:p w:rsidR="009D73CA" w:rsidRPr="007E652E" w:rsidRDefault="001F7206"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El artículo 39 de dicho acuerdo, bajo la rúbrica “Protección de la información no divulgada” dispone:</w:t>
      </w:r>
    </w:p>
    <w:p w:rsidR="001F7206" w:rsidRPr="007E652E" w:rsidRDefault="001F7206" w:rsidP="001F7206">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i/>
          <w:sz w:val="24"/>
          <w:szCs w:val="24"/>
          <w:lang w:eastAsia="es-ES"/>
        </w:rPr>
        <w:lastRenderedPageBreak/>
        <w:t>“1. Al garantizar una protección eficaz contra la competencia desleal, de conformidad con lo establecido en el artículo 10bis del Convenio de París (1967), los Miembros protegerán la información no divulgada de conformidad con el párrafo 2, y los datos que se hayan sometido a los gobiernos o a organismos oficiales, de conformidad con el párrafo 3.</w:t>
      </w:r>
    </w:p>
    <w:p w:rsidR="001F7206" w:rsidRPr="007E652E" w:rsidRDefault="001F7206" w:rsidP="001F7206">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i/>
          <w:sz w:val="24"/>
          <w:szCs w:val="24"/>
          <w:lang w:eastAsia="es-ES"/>
        </w:rPr>
        <w:t>2. Las personas físicas y jurídicas tendrán la posibilidad de impedir que la información que esté legítimamente bajo su control se divulgue a terceros o sea adquirida o utilizada por terceros sin su consentimiento de manera contraria a los usos comerciales honestos, en la medida en que dicha información:</w:t>
      </w:r>
    </w:p>
    <w:p w:rsidR="001F7206" w:rsidRPr="007E652E" w:rsidRDefault="001F7206" w:rsidP="001F7206">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i/>
          <w:sz w:val="24"/>
          <w:szCs w:val="24"/>
          <w:lang w:eastAsia="es-ES"/>
        </w:rPr>
        <w:t>a) sea secreta en el sentido de que no sea, como cuerpo o en la configuración y reunión precisas de sus componentes, generalmente conocida ni fácilmente accesible para personas introducidas en los círculos en que normalmente se utiliza el tipo de información en cuestión; y</w:t>
      </w:r>
    </w:p>
    <w:p w:rsidR="001F7206" w:rsidRPr="007E652E" w:rsidRDefault="001F7206" w:rsidP="001F7206">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i/>
          <w:sz w:val="24"/>
          <w:szCs w:val="24"/>
          <w:lang w:eastAsia="es-ES"/>
        </w:rPr>
        <w:t>b) tenga un valor comercial por ser secreta; y</w:t>
      </w:r>
    </w:p>
    <w:p w:rsidR="001F7206" w:rsidRPr="007E652E" w:rsidRDefault="001F7206" w:rsidP="001F7206">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i/>
          <w:sz w:val="24"/>
          <w:szCs w:val="24"/>
          <w:lang w:eastAsia="es-ES"/>
        </w:rPr>
        <w:t>c) haya sido objeto de medidas razonables, en las circunstancias, para mantenerla secreta, tomadas por la persona que legítimamente la controla.</w:t>
      </w:r>
    </w:p>
    <w:p w:rsidR="001F7206" w:rsidRPr="007E652E" w:rsidRDefault="001F7206" w:rsidP="006A508E">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i/>
          <w:sz w:val="24"/>
          <w:szCs w:val="24"/>
          <w:lang w:eastAsia="es-ES"/>
        </w:rPr>
        <w:t>3. Los Miembros, cuando exijan, como condición para aprobar la comercialización de productos farmacéuticos o de productos químicos agrícolas que utilizan nuevas entidades químicas, la presentación de datos de pruebas u otros no divulgados cuya elaboración suponga un esfuerzo considerable, protegerán esos datos contra todo uso comercial desleal. Además, los Miembros protegerán esos datos contra toda divulgación, excepto cuando sea necesario para proteger al público, o salvo que se adopten medidas para garantizar la protección de los datos contra todo uso comercial desleal.”</w:t>
      </w:r>
    </w:p>
    <w:p w:rsidR="009D73CA" w:rsidRPr="007E652E" w:rsidRDefault="009D73C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Sin embargo, en el ámbito del Derecho de la Unión Europea </w:t>
      </w:r>
      <w:r w:rsidR="00587B19" w:rsidRPr="007E652E">
        <w:rPr>
          <w:rFonts w:ascii="Arial" w:eastAsia="Times New Roman" w:hAnsi="Arial" w:cs="Arial"/>
          <w:sz w:val="24"/>
          <w:szCs w:val="24"/>
          <w:lang w:eastAsia="es-ES"/>
        </w:rPr>
        <w:t>existían</w:t>
      </w:r>
      <w:r w:rsidRPr="007E652E">
        <w:rPr>
          <w:rFonts w:ascii="Arial" w:eastAsia="Times New Roman" w:hAnsi="Arial" w:cs="Arial"/>
          <w:sz w:val="24"/>
          <w:szCs w:val="24"/>
          <w:lang w:eastAsia="es-ES"/>
        </w:rPr>
        <w:t xml:space="preserve"> </w:t>
      </w:r>
      <w:r w:rsidR="00587B19" w:rsidRPr="007E652E">
        <w:rPr>
          <w:rFonts w:ascii="Arial" w:eastAsia="Times New Roman" w:hAnsi="Arial" w:cs="Arial"/>
          <w:sz w:val="24"/>
          <w:szCs w:val="24"/>
          <w:lang w:eastAsia="es-ES"/>
        </w:rPr>
        <w:t xml:space="preserve">diferencias de calado </w:t>
      </w:r>
      <w:r w:rsidRPr="007E652E">
        <w:rPr>
          <w:rFonts w:ascii="Arial" w:eastAsia="Times New Roman" w:hAnsi="Arial" w:cs="Arial"/>
          <w:sz w:val="24"/>
          <w:szCs w:val="24"/>
          <w:lang w:eastAsia="es-ES"/>
        </w:rPr>
        <w:t xml:space="preserve">entre las legislaciones de los Estados miembros acerca de aspectos tales como el concepto mismo de secreto empresarial o si el titular </w:t>
      </w:r>
      <w:r w:rsidRPr="007E652E">
        <w:rPr>
          <w:rFonts w:ascii="Arial" w:eastAsia="Times New Roman" w:hAnsi="Arial" w:cs="Arial"/>
          <w:sz w:val="24"/>
          <w:szCs w:val="24"/>
          <w:lang w:eastAsia="es-ES"/>
        </w:rPr>
        <w:lastRenderedPageBreak/>
        <w:t>de dicho secreto podía exigir algún tipo de compensación distinta de la económica.</w:t>
      </w:r>
    </w:p>
    <w:p w:rsidR="009D73CA" w:rsidRPr="007E652E" w:rsidRDefault="009D73C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La </w:t>
      </w:r>
      <w:r w:rsidR="001F7206" w:rsidRPr="007E652E">
        <w:rPr>
          <w:rFonts w:ascii="Arial" w:eastAsia="Times New Roman" w:hAnsi="Arial" w:cs="Arial"/>
          <w:sz w:val="24"/>
          <w:szCs w:val="24"/>
          <w:lang w:eastAsia="es-ES"/>
        </w:rPr>
        <w:t xml:space="preserve">directiva </w:t>
      </w:r>
      <w:r w:rsidRPr="007E652E">
        <w:rPr>
          <w:rFonts w:ascii="Arial" w:eastAsia="Times New Roman" w:hAnsi="Arial" w:cs="Arial"/>
          <w:sz w:val="24"/>
          <w:szCs w:val="24"/>
          <w:lang w:eastAsia="es-ES"/>
        </w:rPr>
        <w:t xml:space="preserve">viene a paliar tales lagunas </w:t>
      </w:r>
      <w:r w:rsidR="00587B19" w:rsidRPr="007E652E">
        <w:rPr>
          <w:rFonts w:ascii="Arial" w:eastAsia="Times New Roman" w:hAnsi="Arial" w:cs="Arial"/>
          <w:sz w:val="24"/>
          <w:szCs w:val="24"/>
          <w:lang w:eastAsia="es-ES"/>
        </w:rPr>
        <w:t xml:space="preserve">y </w:t>
      </w:r>
      <w:r w:rsidR="008273C0" w:rsidRPr="007E652E">
        <w:rPr>
          <w:rFonts w:ascii="Arial" w:eastAsia="Times New Roman" w:hAnsi="Arial" w:cs="Arial"/>
          <w:sz w:val="24"/>
          <w:szCs w:val="24"/>
          <w:lang w:eastAsia="es-ES"/>
        </w:rPr>
        <w:t>a</w:t>
      </w:r>
      <w:r w:rsidRPr="007E652E">
        <w:rPr>
          <w:rFonts w:ascii="Arial" w:eastAsia="Times New Roman" w:hAnsi="Arial" w:cs="Arial"/>
          <w:sz w:val="24"/>
          <w:szCs w:val="24"/>
          <w:lang w:eastAsia="es-ES"/>
        </w:rPr>
        <w:t xml:space="preserve"> armonizar la legislación de los Estados miembros con el objetivo de fomentar la competitividad</w:t>
      </w:r>
      <w:r w:rsidR="00587B19" w:rsidRPr="007E652E">
        <w:rPr>
          <w:rFonts w:ascii="Arial" w:eastAsia="Times New Roman" w:hAnsi="Arial" w:cs="Arial"/>
          <w:sz w:val="24"/>
          <w:szCs w:val="24"/>
          <w:lang w:eastAsia="es-ES"/>
        </w:rPr>
        <w:t xml:space="preserve">. Con ello, </w:t>
      </w:r>
      <w:r w:rsidRPr="007E652E">
        <w:rPr>
          <w:rFonts w:ascii="Arial" w:eastAsia="Times New Roman" w:hAnsi="Arial" w:cs="Arial"/>
          <w:sz w:val="24"/>
          <w:szCs w:val="24"/>
          <w:lang w:eastAsia="es-ES"/>
        </w:rPr>
        <w:t xml:space="preserve">los creadores </w:t>
      </w:r>
      <w:r w:rsidR="00587B19" w:rsidRPr="007E652E">
        <w:rPr>
          <w:rFonts w:ascii="Arial" w:eastAsia="Times New Roman" w:hAnsi="Arial" w:cs="Arial"/>
          <w:sz w:val="24"/>
          <w:szCs w:val="24"/>
          <w:lang w:eastAsia="es-ES"/>
        </w:rPr>
        <w:t>podrán</w:t>
      </w:r>
      <w:r w:rsidRPr="007E652E">
        <w:rPr>
          <w:rFonts w:ascii="Arial" w:eastAsia="Times New Roman" w:hAnsi="Arial" w:cs="Arial"/>
          <w:sz w:val="24"/>
          <w:szCs w:val="24"/>
          <w:lang w:eastAsia="es-ES"/>
        </w:rPr>
        <w:t xml:space="preserve"> beneficiarse de </w:t>
      </w:r>
      <w:r w:rsidR="00587B19" w:rsidRPr="007E652E">
        <w:rPr>
          <w:rFonts w:ascii="Arial" w:eastAsia="Times New Roman" w:hAnsi="Arial" w:cs="Arial"/>
          <w:sz w:val="24"/>
          <w:szCs w:val="24"/>
          <w:lang w:eastAsia="es-ES"/>
        </w:rPr>
        <w:t>las</w:t>
      </w:r>
      <w:r w:rsidRPr="007E652E">
        <w:rPr>
          <w:rFonts w:ascii="Arial" w:eastAsia="Times New Roman" w:hAnsi="Arial" w:cs="Arial"/>
          <w:sz w:val="24"/>
          <w:szCs w:val="24"/>
          <w:lang w:eastAsia="es-ES"/>
        </w:rPr>
        <w:t xml:space="preserve"> innovaciones protegidas al amparo de un secreto comercial o industrial, y no necesariamente a través de un derecho de propiedad </w:t>
      </w:r>
      <w:r w:rsidR="008273C0" w:rsidRPr="007E652E">
        <w:rPr>
          <w:rFonts w:ascii="Arial" w:eastAsia="Times New Roman" w:hAnsi="Arial" w:cs="Arial"/>
          <w:sz w:val="24"/>
          <w:szCs w:val="24"/>
          <w:lang w:eastAsia="es-ES"/>
        </w:rPr>
        <w:t>industrial registrable</w:t>
      </w:r>
      <w:r w:rsidR="00587B19" w:rsidRPr="007E652E">
        <w:rPr>
          <w:rFonts w:ascii="Arial" w:eastAsia="Times New Roman" w:hAnsi="Arial" w:cs="Arial"/>
          <w:sz w:val="24"/>
          <w:szCs w:val="24"/>
          <w:lang w:eastAsia="es-ES"/>
        </w:rPr>
        <w:t xml:space="preserve">. Son ellos, pues, los creadores, </w:t>
      </w:r>
      <w:r w:rsidRPr="007E652E">
        <w:rPr>
          <w:rFonts w:ascii="Arial" w:eastAsia="Times New Roman" w:hAnsi="Arial" w:cs="Arial"/>
          <w:sz w:val="24"/>
          <w:szCs w:val="24"/>
          <w:lang w:eastAsia="es-ES"/>
        </w:rPr>
        <w:t xml:space="preserve">los más beneficiados por esta </w:t>
      </w:r>
      <w:r w:rsidR="00587B19" w:rsidRPr="007E652E">
        <w:rPr>
          <w:rFonts w:ascii="Arial" w:eastAsia="Times New Roman" w:hAnsi="Arial" w:cs="Arial"/>
          <w:sz w:val="24"/>
          <w:szCs w:val="24"/>
          <w:lang w:eastAsia="es-ES"/>
        </w:rPr>
        <w:t>directiva. Con ello</w:t>
      </w:r>
      <w:r w:rsidR="002E6B39" w:rsidRPr="007E652E">
        <w:rPr>
          <w:rFonts w:ascii="Arial" w:eastAsia="Times New Roman" w:hAnsi="Arial" w:cs="Arial"/>
          <w:sz w:val="24"/>
          <w:szCs w:val="24"/>
          <w:lang w:eastAsia="es-ES"/>
        </w:rPr>
        <w:t>,</w:t>
      </w:r>
      <w:r w:rsidR="00587B19" w:rsidRPr="007E652E">
        <w:rPr>
          <w:rFonts w:ascii="Arial" w:eastAsia="Times New Roman" w:hAnsi="Arial" w:cs="Arial"/>
          <w:sz w:val="24"/>
          <w:szCs w:val="24"/>
          <w:lang w:eastAsia="es-ES"/>
        </w:rPr>
        <w:t xml:space="preserve"> además, se pretende</w:t>
      </w:r>
      <w:r w:rsidRPr="007E652E">
        <w:rPr>
          <w:rFonts w:ascii="Arial" w:eastAsia="Times New Roman" w:hAnsi="Arial" w:cs="Arial"/>
          <w:sz w:val="24"/>
          <w:szCs w:val="24"/>
          <w:lang w:eastAsia="es-ES"/>
        </w:rPr>
        <w:t xml:space="preserve"> evitar la práctica de comportamientos desleales que pueden afectar al comportamiento de los actores económicos en el mercado.</w:t>
      </w:r>
    </w:p>
    <w:p w:rsidR="00F7415C" w:rsidRPr="007E652E" w:rsidRDefault="009D73CA" w:rsidP="00F11D45">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xml:space="preserve">En </w:t>
      </w:r>
      <w:r w:rsidR="0035629F" w:rsidRPr="007E652E">
        <w:rPr>
          <w:rFonts w:ascii="Arial" w:eastAsia="Times New Roman" w:hAnsi="Arial" w:cs="Arial"/>
          <w:sz w:val="24"/>
          <w:szCs w:val="24"/>
          <w:lang w:val="es-ES_tradnl" w:eastAsia="es-ES"/>
        </w:rPr>
        <w:t>definitiva</w:t>
      </w:r>
      <w:r w:rsidRPr="007E652E">
        <w:rPr>
          <w:rFonts w:ascii="Arial" w:eastAsia="Times New Roman" w:hAnsi="Arial" w:cs="Arial"/>
          <w:sz w:val="24"/>
          <w:szCs w:val="24"/>
          <w:lang w:val="es-ES_tradnl" w:eastAsia="es-ES"/>
        </w:rPr>
        <w:t xml:space="preserve">, la </w:t>
      </w:r>
      <w:r w:rsidR="00587B19" w:rsidRPr="007E652E">
        <w:rPr>
          <w:rFonts w:ascii="Arial" w:eastAsia="Times New Roman" w:hAnsi="Arial" w:cs="Arial"/>
          <w:sz w:val="24"/>
          <w:szCs w:val="24"/>
          <w:lang w:val="es-ES_tradnl" w:eastAsia="es-ES"/>
        </w:rPr>
        <w:t>d</w:t>
      </w:r>
      <w:r w:rsidRPr="007E652E">
        <w:rPr>
          <w:rFonts w:ascii="Arial" w:eastAsia="Times New Roman" w:hAnsi="Arial" w:cs="Arial"/>
          <w:sz w:val="24"/>
          <w:szCs w:val="24"/>
          <w:lang w:val="es-ES_tradnl" w:eastAsia="es-ES"/>
        </w:rPr>
        <w:t xml:space="preserve">irectiva confiere un marco jurídico armonizado para toda la Unión estableciendo normas en materia de protección de los titulares de secretos empresariales frente a la obtención, utilización y revelación ilícitas de los mismos, y frente a la explotación no consentida de mercancías infractoras.  </w:t>
      </w:r>
    </w:p>
    <w:p w:rsidR="008273C0" w:rsidRPr="007E652E" w:rsidRDefault="008273C0" w:rsidP="008273C0">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A la hora de perfilar la virtualidad de los secretos empresariales, resulta útil compararlos con las patentes</w:t>
      </w:r>
      <w:r w:rsidRPr="007E652E">
        <w:rPr>
          <w:rStyle w:val="Refdenotaalpie"/>
          <w:rFonts w:ascii="Arial" w:eastAsia="Times New Roman" w:hAnsi="Arial" w:cs="Arial"/>
          <w:sz w:val="24"/>
          <w:szCs w:val="24"/>
          <w:lang w:val="es-ES_tradnl" w:eastAsia="es-ES"/>
        </w:rPr>
        <w:footnoteReference w:id="1"/>
      </w:r>
      <w:r w:rsidRPr="007E652E">
        <w:rPr>
          <w:rFonts w:ascii="Arial" w:eastAsia="Times New Roman" w:hAnsi="Arial" w:cs="Arial"/>
          <w:sz w:val="24"/>
          <w:szCs w:val="24"/>
          <w:lang w:val="es-ES_tradnl" w:eastAsia="es-ES"/>
        </w:rPr>
        <w:t xml:space="preserve">. Frente a la duración limitada que caracteriza estas últimas, la protección de los secretos empresariales tiene la ventaja de no estar sujeta a límites temporales, de modo que continúa de manera indefinida siempre que el secreto no se revele al público. Los secretos empresariales no entrañan costes de registro (aunque puedan </w:t>
      </w:r>
      <w:r w:rsidR="002E6B39" w:rsidRPr="007E652E">
        <w:rPr>
          <w:rFonts w:ascii="Arial" w:eastAsia="Times New Roman" w:hAnsi="Arial" w:cs="Arial"/>
          <w:sz w:val="24"/>
          <w:szCs w:val="24"/>
          <w:lang w:val="es-ES_tradnl" w:eastAsia="es-ES"/>
        </w:rPr>
        <w:t>suponer</w:t>
      </w:r>
      <w:r w:rsidRPr="007E652E">
        <w:rPr>
          <w:rFonts w:ascii="Arial" w:eastAsia="Times New Roman" w:hAnsi="Arial" w:cs="Arial"/>
          <w:sz w:val="24"/>
          <w:szCs w:val="24"/>
          <w:lang w:val="es-ES_tradnl" w:eastAsia="es-ES"/>
        </w:rPr>
        <w:t xml:space="preserve"> gastos elevados destinados a mantener la información confidencial), tienen un efecto inmediato y su protección no requiere el previo acceso a un registro público.</w:t>
      </w:r>
    </w:p>
    <w:p w:rsidR="003B3A9C" w:rsidRPr="007E652E" w:rsidRDefault="008273C0" w:rsidP="00AD299F">
      <w:pPr>
        <w:spacing w:before="240" w:after="240" w:line="360" w:lineRule="auto"/>
        <w:ind w:firstLine="709"/>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xml:space="preserve">No obstante, existen ciertas desventajas concretas aparejadas a la protección de la información empresarial confidencial, especialmente cuando la información satisface los criterios de </w:t>
      </w:r>
      <w:proofErr w:type="spellStart"/>
      <w:r w:rsidRPr="007E652E">
        <w:rPr>
          <w:rFonts w:ascii="Arial" w:eastAsia="Times New Roman" w:hAnsi="Arial" w:cs="Arial"/>
          <w:sz w:val="24"/>
          <w:szCs w:val="24"/>
          <w:lang w:val="es-ES_tradnl" w:eastAsia="es-ES"/>
        </w:rPr>
        <w:t>patentabilidad</w:t>
      </w:r>
      <w:proofErr w:type="spellEnd"/>
      <w:r w:rsidRPr="007E652E">
        <w:rPr>
          <w:rFonts w:ascii="Arial" w:eastAsia="Times New Roman" w:hAnsi="Arial" w:cs="Arial"/>
          <w:sz w:val="24"/>
          <w:szCs w:val="24"/>
          <w:lang w:val="es-ES_tradnl" w:eastAsia="es-ES"/>
        </w:rPr>
        <w:t>:</w:t>
      </w:r>
    </w:p>
    <w:p w:rsidR="008273C0" w:rsidRPr="007E652E" w:rsidRDefault="008273C0" w:rsidP="00AD299F">
      <w:pPr>
        <w:spacing w:before="240" w:after="240" w:line="360" w:lineRule="auto"/>
        <w:ind w:firstLine="709"/>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xml:space="preserve">- Si el secreto se plasma en un producto innovador, éste podrá ser inspeccionado, </w:t>
      </w:r>
      <w:r w:rsidR="00A741D8" w:rsidRPr="007E652E">
        <w:rPr>
          <w:rFonts w:ascii="Arial" w:eastAsia="Times New Roman" w:hAnsi="Arial" w:cs="Arial"/>
          <w:sz w:val="24"/>
          <w:szCs w:val="24"/>
          <w:lang w:val="es-ES_tradnl" w:eastAsia="es-ES"/>
        </w:rPr>
        <w:t xml:space="preserve">diseccionado </w:t>
      </w:r>
      <w:r w:rsidRPr="007E652E">
        <w:rPr>
          <w:rFonts w:ascii="Arial" w:eastAsia="Times New Roman" w:hAnsi="Arial" w:cs="Arial"/>
          <w:sz w:val="24"/>
          <w:szCs w:val="24"/>
          <w:lang w:val="es-ES_tradnl" w:eastAsia="es-ES"/>
        </w:rPr>
        <w:t>y analizado (</w:t>
      </w:r>
      <w:r w:rsidR="00DC6611" w:rsidRPr="007E652E">
        <w:rPr>
          <w:rFonts w:ascii="Arial" w:eastAsia="Times New Roman" w:hAnsi="Arial" w:cs="Arial"/>
          <w:sz w:val="24"/>
          <w:szCs w:val="24"/>
          <w:lang w:val="es-ES_tradnl" w:eastAsia="es-ES"/>
        </w:rPr>
        <w:t>a través de la denominada</w:t>
      </w:r>
      <w:r w:rsidRPr="007E652E">
        <w:rPr>
          <w:rFonts w:ascii="Arial" w:eastAsia="Times New Roman" w:hAnsi="Arial" w:cs="Arial"/>
          <w:sz w:val="24"/>
          <w:szCs w:val="24"/>
          <w:lang w:val="es-ES_tradnl" w:eastAsia="es-ES"/>
        </w:rPr>
        <w:t xml:space="preserve"> "ingeniería inversa") por terceros que podrán descubrir el secreto y, por consiguiente, utilizarlo. De hecho, la protección por secreto </w:t>
      </w:r>
      <w:r w:rsidR="00DC6611" w:rsidRPr="007E652E">
        <w:rPr>
          <w:rFonts w:ascii="Arial" w:eastAsia="Times New Roman" w:hAnsi="Arial" w:cs="Arial"/>
          <w:sz w:val="24"/>
          <w:szCs w:val="24"/>
          <w:lang w:val="es-ES_tradnl" w:eastAsia="es-ES"/>
        </w:rPr>
        <w:t xml:space="preserve">empresarial </w:t>
      </w:r>
      <w:r w:rsidRPr="007E652E">
        <w:rPr>
          <w:rFonts w:ascii="Arial" w:eastAsia="Times New Roman" w:hAnsi="Arial" w:cs="Arial"/>
          <w:sz w:val="24"/>
          <w:szCs w:val="24"/>
          <w:lang w:val="es-ES_tradnl" w:eastAsia="es-ES"/>
        </w:rPr>
        <w:t xml:space="preserve">de una </w:t>
      </w:r>
      <w:r w:rsidRPr="007E652E">
        <w:rPr>
          <w:rFonts w:ascii="Arial" w:eastAsia="Times New Roman" w:hAnsi="Arial" w:cs="Arial"/>
          <w:sz w:val="24"/>
          <w:szCs w:val="24"/>
          <w:lang w:val="es-ES_tradnl" w:eastAsia="es-ES"/>
        </w:rPr>
        <w:lastRenderedPageBreak/>
        <w:t>invención no confiere el derecho exclusivo de impedir a terceros utilizarla de manera comercial. Únicamente las patentes y los modelos de utilidad brindan este tipo de protección.</w:t>
      </w:r>
    </w:p>
    <w:p w:rsidR="008273C0" w:rsidRPr="007E652E" w:rsidRDefault="008273C0" w:rsidP="00DC6611">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Una vez que el secreto se divulga, todo el mundo puede tener acceso al mismo y utilizarlo.</w:t>
      </w:r>
      <w:r w:rsidR="00DC6611" w:rsidRPr="007E652E">
        <w:rPr>
          <w:rFonts w:ascii="Arial" w:eastAsia="Times New Roman" w:hAnsi="Arial" w:cs="Arial"/>
          <w:sz w:val="24"/>
          <w:szCs w:val="24"/>
          <w:lang w:val="es-ES_tradnl" w:eastAsia="es-ES"/>
        </w:rPr>
        <w:t xml:space="preserve"> Incluso, p</w:t>
      </w:r>
      <w:r w:rsidRPr="007E652E">
        <w:rPr>
          <w:rFonts w:ascii="Arial" w:eastAsia="Times New Roman" w:hAnsi="Arial" w:cs="Arial"/>
          <w:sz w:val="24"/>
          <w:szCs w:val="24"/>
          <w:lang w:val="es-ES_tradnl" w:eastAsia="es-ES"/>
        </w:rPr>
        <w:t>uede ser patentado por cualquier otra persona que haya obtenido la información pertinente por medios legítimos.</w:t>
      </w:r>
    </w:p>
    <w:p w:rsidR="00F7415C" w:rsidRPr="007E652E" w:rsidRDefault="001073E7" w:rsidP="00DB4BE4">
      <w:pPr>
        <w:pStyle w:val="Ttulo2"/>
        <w:jc w:val="center"/>
        <w:rPr>
          <w:i w:val="0"/>
        </w:rPr>
      </w:pPr>
      <w:bookmarkStart w:id="6" w:name="_Toc511982515"/>
      <w:r w:rsidRPr="007E652E">
        <w:rPr>
          <w:i w:val="0"/>
        </w:rPr>
        <w:t>1</w:t>
      </w:r>
      <w:r w:rsidR="007244DE" w:rsidRPr="007E652E">
        <w:rPr>
          <w:i w:val="0"/>
        </w:rPr>
        <w:t>.</w:t>
      </w:r>
      <w:r w:rsidR="0035629F" w:rsidRPr="007E652E">
        <w:rPr>
          <w:i w:val="0"/>
        </w:rPr>
        <w:t>1</w:t>
      </w:r>
      <w:r w:rsidRPr="007E652E">
        <w:rPr>
          <w:i w:val="0"/>
        </w:rPr>
        <w:t xml:space="preserve"> Fines y objetivos perseguidos</w:t>
      </w:r>
      <w:bookmarkEnd w:id="6"/>
    </w:p>
    <w:p w:rsidR="0035629F" w:rsidRPr="007E652E" w:rsidRDefault="0035629F"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val="es-ES_tradnl" w:eastAsia="es-ES"/>
        </w:rPr>
        <w:t xml:space="preserve">El objetivo prevalente del anteproyecto de ley es cumplir el mandato de transposición de la </w:t>
      </w:r>
      <w:r w:rsidR="00B00F84">
        <w:rPr>
          <w:rFonts w:ascii="Arial" w:eastAsia="Times New Roman" w:hAnsi="Arial" w:cs="Arial"/>
          <w:sz w:val="24"/>
          <w:szCs w:val="24"/>
          <w:lang w:val="es-ES_tradnl" w:eastAsia="es-ES"/>
        </w:rPr>
        <w:t>D</w:t>
      </w:r>
      <w:proofErr w:type="spellStart"/>
      <w:r w:rsidRPr="007E652E">
        <w:rPr>
          <w:rFonts w:ascii="Arial" w:eastAsia="Times New Roman" w:hAnsi="Arial" w:cs="Arial"/>
          <w:sz w:val="24"/>
          <w:szCs w:val="24"/>
          <w:lang w:eastAsia="es-ES"/>
        </w:rPr>
        <w:t>irectiva</w:t>
      </w:r>
      <w:proofErr w:type="spellEnd"/>
      <w:r w:rsidRPr="007E652E">
        <w:rPr>
          <w:rFonts w:ascii="Arial" w:eastAsia="Times New Roman" w:hAnsi="Arial" w:cs="Arial"/>
          <w:sz w:val="24"/>
          <w:szCs w:val="24"/>
          <w:lang w:eastAsia="es-ES"/>
        </w:rPr>
        <w:t xml:space="preserve"> (UE) 2016/943 estableciendo un régimen de protección de los secretos empresariales </w:t>
      </w:r>
      <w:r w:rsidRPr="007E652E">
        <w:rPr>
          <w:rFonts w:ascii="Arial" w:eastAsia="Times New Roman" w:hAnsi="Arial" w:cs="Arial"/>
          <w:sz w:val="24"/>
          <w:szCs w:val="24"/>
          <w:lang w:val="es-ES_tradnl" w:eastAsia="es-ES"/>
        </w:rPr>
        <w:t xml:space="preserve">contra la apropiación indebida </w:t>
      </w:r>
      <w:r w:rsidR="00DC6611" w:rsidRPr="007E652E">
        <w:rPr>
          <w:rFonts w:ascii="Arial" w:eastAsia="Times New Roman" w:hAnsi="Arial" w:cs="Arial"/>
          <w:sz w:val="24"/>
          <w:szCs w:val="24"/>
          <w:lang w:eastAsia="es-ES"/>
        </w:rPr>
        <w:t xml:space="preserve">y </w:t>
      </w:r>
      <w:r w:rsidR="006A508E" w:rsidRPr="007E652E">
        <w:rPr>
          <w:rFonts w:ascii="Arial" w:eastAsia="Times New Roman" w:hAnsi="Arial" w:cs="Arial"/>
          <w:sz w:val="24"/>
          <w:szCs w:val="24"/>
          <w:lang w:eastAsia="es-ES"/>
        </w:rPr>
        <w:t>completando así</w:t>
      </w:r>
      <w:r w:rsidRPr="007E652E">
        <w:rPr>
          <w:rFonts w:ascii="Arial" w:eastAsia="Times New Roman" w:hAnsi="Arial" w:cs="Arial"/>
          <w:sz w:val="24"/>
          <w:szCs w:val="24"/>
          <w:lang w:eastAsia="es-ES"/>
        </w:rPr>
        <w:t xml:space="preserve"> la regulación de la Ley </w:t>
      </w:r>
      <w:bookmarkStart w:id="7" w:name="_Hlk504263428"/>
      <w:r w:rsidRPr="007E652E">
        <w:rPr>
          <w:rFonts w:ascii="Arial" w:eastAsia="Times New Roman" w:hAnsi="Arial" w:cs="Arial"/>
          <w:sz w:val="24"/>
          <w:szCs w:val="24"/>
          <w:lang w:eastAsia="es-ES"/>
        </w:rPr>
        <w:t xml:space="preserve">3/1991, de 10 de enero, </w:t>
      </w:r>
      <w:bookmarkEnd w:id="7"/>
      <w:r w:rsidRPr="007E652E">
        <w:rPr>
          <w:rFonts w:ascii="Arial" w:eastAsia="Times New Roman" w:hAnsi="Arial" w:cs="Arial"/>
          <w:sz w:val="24"/>
          <w:szCs w:val="24"/>
          <w:lang w:eastAsia="es-ES"/>
        </w:rPr>
        <w:t>de Competencia Desleal y en concreto, su artículo 13 desde una perspectiva sustantiva y, especialmente, procesal.</w:t>
      </w:r>
    </w:p>
    <w:p w:rsidR="0035629F" w:rsidRPr="007E652E" w:rsidRDefault="0035629F" w:rsidP="006A508E">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eastAsia="es-ES"/>
        </w:rPr>
        <w:t xml:space="preserve">Con ello, </w:t>
      </w:r>
      <w:r w:rsidR="003245C8" w:rsidRPr="007E652E">
        <w:rPr>
          <w:rFonts w:ascii="Arial" w:eastAsia="Times New Roman" w:hAnsi="Arial" w:cs="Arial"/>
          <w:sz w:val="24"/>
          <w:szCs w:val="24"/>
          <w:lang w:eastAsia="es-ES"/>
        </w:rPr>
        <w:t xml:space="preserve">por un lado, </w:t>
      </w:r>
      <w:r w:rsidRPr="007E652E">
        <w:rPr>
          <w:rFonts w:ascii="Arial" w:eastAsia="Times New Roman" w:hAnsi="Arial" w:cs="Arial"/>
          <w:sz w:val="24"/>
          <w:szCs w:val="24"/>
          <w:lang w:eastAsia="es-ES"/>
        </w:rPr>
        <w:t xml:space="preserve">se fomenta </w:t>
      </w:r>
      <w:r w:rsidRPr="007E652E">
        <w:rPr>
          <w:rFonts w:ascii="Arial" w:eastAsia="Times New Roman" w:hAnsi="Arial" w:cs="Arial"/>
          <w:sz w:val="24"/>
          <w:szCs w:val="24"/>
          <w:lang w:val="es-ES_tradnl" w:eastAsia="es-ES"/>
        </w:rPr>
        <w:t>la competitividad de las empresas y organismos de investigación cuando encuentran entre sus activos información</w:t>
      </w:r>
      <w:r w:rsidR="003245C8" w:rsidRPr="007E652E">
        <w:rPr>
          <w:rFonts w:ascii="Arial" w:eastAsia="Times New Roman" w:hAnsi="Arial" w:cs="Arial"/>
          <w:sz w:val="24"/>
          <w:szCs w:val="24"/>
          <w:lang w:val="es-ES_tradnl" w:eastAsia="es-ES"/>
        </w:rPr>
        <w:t xml:space="preserve"> empresarial</w:t>
      </w:r>
      <w:r w:rsidRPr="007E652E">
        <w:rPr>
          <w:rFonts w:ascii="Arial" w:eastAsia="Times New Roman" w:hAnsi="Arial" w:cs="Arial"/>
          <w:sz w:val="24"/>
          <w:szCs w:val="24"/>
          <w:lang w:val="es-ES_tradnl" w:eastAsia="es-ES"/>
        </w:rPr>
        <w:t xml:space="preserve"> no divulgada</w:t>
      </w:r>
      <w:r w:rsidR="003245C8" w:rsidRPr="007E652E">
        <w:rPr>
          <w:rFonts w:ascii="Arial" w:eastAsia="Times New Roman" w:hAnsi="Arial" w:cs="Arial"/>
          <w:sz w:val="24"/>
          <w:szCs w:val="24"/>
          <w:lang w:val="es-ES_tradnl" w:eastAsia="es-ES"/>
        </w:rPr>
        <w:t xml:space="preserve"> y</w:t>
      </w:r>
      <w:r w:rsidRPr="007E652E">
        <w:rPr>
          <w:rFonts w:ascii="Arial" w:eastAsia="Times New Roman" w:hAnsi="Arial" w:cs="Arial"/>
          <w:sz w:val="24"/>
          <w:szCs w:val="24"/>
          <w:lang w:val="es-ES_tradnl" w:eastAsia="es-ES"/>
        </w:rPr>
        <w:t xml:space="preserve"> “saber hacer” </w:t>
      </w:r>
      <w:r w:rsidR="002E6B39" w:rsidRPr="007E652E">
        <w:rPr>
          <w:rFonts w:ascii="Arial" w:eastAsia="Times New Roman" w:hAnsi="Arial" w:cs="Arial"/>
          <w:sz w:val="24"/>
          <w:szCs w:val="24"/>
          <w:lang w:val="es-ES_tradnl" w:eastAsia="es-ES"/>
        </w:rPr>
        <w:t>(“</w:t>
      </w:r>
      <w:proofErr w:type="spellStart"/>
      <w:r w:rsidR="002E6B39" w:rsidRPr="007E652E">
        <w:rPr>
          <w:rFonts w:ascii="Arial" w:eastAsia="Times New Roman" w:hAnsi="Arial" w:cs="Arial"/>
          <w:sz w:val="24"/>
          <w:szCs w:val="24"/>
          <w:lang w:val="es-ES_tradnl" w:eastAsia="es-ES"/>
        </w:rPr>
        <w:t>know</w:t>
      </w:r>
      <w:proofErr w:type="spellEnd"/>
      <w:r w:rsidR="002E6B39" w:rsidRPr="007E652E">
        <w:rPr>
          <w:rFonts w:ascii="Arial" w:eastAsia="Times New Roman" w:hAnsi="Arial" w:cs="Arial"/>
          <w:sz w:val="24"/>
          <w:szCs w:val="24"/>
          <w:lang w:val="es-ES_tradnl" w:eastAsia="es-ES"/>
        </w:rPr>
        <w:t xml:space="preserve"> </w:t>
      </w:r>
      <w:proofErr w:type="spellStart"/>
      <w:r w:rsidR="002E6B39" w:rsidRPr="007E652E">
        <w:rPr>
          <w:rFonts w:ascii="Arial" w:eastAsia="Times New Roman" w:hAnsi="Arial" w:cs="Arial"/>
          <w:sz w:val="24"/>
          <w:szCs w:val="24"/>
          <w:lang w:val="es-ES_tradnl" w:eastAsia="es-ES"/>
        </w:rPr>
        <w:t>how</w:t>
      </w:r>
      <w:proofErr w:type="spellEnd"/>
      <w:r w:rsidR="002E6B39" w:rsidRPr="007E652E">
        <w:rPr>
          <w:rFonts w:ascii="Arial" w:eastAsia="Times New Roman" w:hAnsi="Arial" w:cs="Arial"/>
          <w:sz w:val="24"/>
          <w:szCs w:val="24"/>
          <w:lang w:val="es-ES_tradnl" w:eastAsia="es-ES"/>
        </w:rPr>
        <w:t xml:space="preserve">”) </w:t>
      </w:r>
      <w:r w:rsidRPr="007E652E">
        <w:rPr>
          <w:rFonts w:ascii="Arial" w:eastAsia="Times New Roman" w:hAnsi="Arial" w:cs="Arial"/>
          <w:sz w:val="24"/>
          <w:szCs w:val="24"/>
          <w:lang w:val="es-ES_tradnl" w:eastAsia="es-ES"/>
        </w:rPr>
        <w:t>y</w:t>
      </w:r>
      <w:r w:rsidR="003245C8" w:rsidRPr="007E652E">
        <w:rPr>
          <w:rFonts w:ascii="Arial" w:eastAsia="Times New Roman" w:hAnsi="Arial" w:cs="Arial"/>
          <w:sz w:val="24"/>
          <w:szCs w:val="24"/>
          <w:lang w:val="es-ES_tradnl" w:eastAsia="es-ES"/>
        </w:rPr>
        <w:t>,</w:t>
      </w:r>
      <w:r w:rsidRPr="007E652E">
        <w:rPr>
          <w:rFonts w:ascii="Arial" w:eastAsia="Times New Roman" w:hAnsi="Arial" w:cs="Arial"/>
          <w:sz w:val="24"/>
          <w:szCs w:val="24"/>
          <w:lang w:val="es-ES_tradnl" w:eastAsia="es-ES"/>
        </w:rPr>
        <w:t xml:space="preserve"> </w:t>
      </w:r>
      <w:r w:rsidR="003245C8" w:rsidRPr="007E652E">
        <w:rPr>
          <w:rFonts w:ascii="Arial" w:eastAsia="Times New Roman" w:hAnsi="Arial" w:cs="Arial"/>
          <w:sz w:val="24"/>
          <w:szCs w:val="24"/>
          <w:lang w:val="es-ES_tradnl" w:eastAsia="es-ES"/>
        </w:rPr>
        <w:t>por otro,</w:t>
      </w:r>
      <w:r w:rsidRPr="007E652E">
        <w:rPr>
          <w:rFonts w:ascii="Arial" w:eastAsia="Times New Roman" w:hAnsi="Arial" w:cs="Arial"/>
          <w:sz w:val="24"/>
          <w:szCs w:val="24"/>
          <w:lang w:val="es-ES_tradnl" w:eastAsia="es-ES"/>
        </w:rPr>
        <w:t xml:space="preserve"> se mejoran las condiciones y el marco para el desarrollo y la explotación de la innovación y la transferencia de conocimientos en el mercado interior. </w:t>
      </w:r>
    </w:p>
    <w:p w:rsidR="00701D86" w:rsidRPr="007E652E" w:rsidRDefault="003245C8"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val="es-ES_tradnl"/>
        </w:rPr>
        <w:t xml:space="preserve">La </w:t>
      </w:r>
      <w:r w:rsidR="00B00F84">
        <w:rPr>
          <w:rFonts w:ascii="Arial" w:eastAsia="Times New Roman" w:hAnsi="Arial" w:cs="Arial"/>
          <w:sz w:val="24"/>
          <w:szCs w:val="24"/>
          <w:lang w:eastAsia="es-ES"/>
        </w:rPr>
        <w:t>D</w:t>
      </w:r>
      <w:r w:rsidR="00B15837" w:rsidRPr="007E652E">
        <w:rPr>
          <w:rFonts w:ascii="Arial" w:eastAsia="Times New Roman" w:hAnsi="Arial" w:cs="Arial"/>
          <w:sz w:val="24"/>
          <w:szCs w:val="24"/>
          <w:lang w:eastAsia="es-ES"/>
        </w:rPr>
        <w:t>irectiva</w:t>
      </w:r>
      <w:r w:rsidRPr="007E652E">
        <w:rPr>
          <w:rFonts w:ascii="Arial" w:eastAsia="Times New Roman" w:hAnsi="Arial" w:cs="Arial"/>
          <w:sz w:val="24"/>
          <w:szCs w:val="24"/>
          <w:lang w:eastAsia="es-ES"/>
        </w:rPr>
        <w:t xml:space="preserve"> (UE) 2016/943</w:t>
      </w:r>
      <w:r w:rsidR="00CA6E50" w:rsidRPr="007E652E">
        <w:rPr>
          <w:rFonts w:ascii="Arial" w:eastAsia="Times New Roman" w:hAnsi="Arial" w:cs="Arial"/>
          <w:sz w:val="24"/>
          <w:szCs w:val="24"/>
          <w:lang w:eastAsia="es-ES"/>
        </w:rPr>
        <w:t>, a fin de</w:t>
      </w:r>
      <w:r w:rsidR="00CA6E50" w:rsidRPr="007E652E">
        <w:rPr>
          <w:rFonts w:ascii="Arial" w:hAnsi="Arial" w:cs="Arial"/>
          <w:sz w:val="24"/>
          <w:szCs w:val="24"/>
        </w:rPr>
        <w:t xml:space="preserve"> </w:t>
      </w:r>
      <w:r w:rsidR="00CA6E50" w:rsidRPr="007E652E">
        <w:rPr>
          <w:rFonts w:ascii="Arial" w:eastAsia="Times New Roman" w:hAnsi="Arial" w:cs="Arial"/>
          <w:sz w:val="24"/>
          <w:szCs w:val="24"/>
          <w:lang w:eastAsia="es-ES"/>
        </w:rPr>
        <w:t xml:space="preserve">aproximar los sistemas </w:t>
      </w:r>
      <w:r w:rsidR="00E9779E" w:rsidRPr="007E652E">
        <w:rPr>
          <w:rFonts w:ascii="Arial" w:eastAsia="Times New Roman" w:hAnsi="Arial" w:cs="Arial"/>
          <w:sz w:val="24"/>
          <w:szCs w:val="24"/>
          <w:lang w:eastAsia="es-ES"/>
        </w:rPr>
        <w:t>legislativos nacionales y con ello</w:t>
      </w:r>
      <w:r w:rsidR="00CA6E50" w:rsidRPr="007E652E">
        <w:rPr>
          <w:rFonts w:ascii="Arial" w:eastAsia="Times New Roman" w:hAnsi="Arial" w:cs="Arial"/>
          <w:sz w:val="24"/>
          <w:szCs w:val="24"/>
          <w:lang w:eastAsia="es-ES"/>
        </w:rPr>
        <w:t xml:space="preserve"> asegurar un nivel de reparación suficiente y coherente en </w:t>
      </w:r>
      <w:r w:rsidR="00E9779E" w:rsidRPr="007E652E">
        <w:rPr>
          <w:rFonts w:ascii="Arial" w:eastAsia="Times New Roman" w:hAnsi="Arial" w:cs="Arial"/>
          <w:sz w:val="24"/>
          <w:szCs w:val="24"/>
          <w:lang w:eastAsia="es-ES"/>
        </w:rPr>
        <w:t xml:space="preserve">todo </w:t>
      </w:r>
      <w:r w:rsidR="00CA6E50" w:rsidRPr="007E652E">
        <w:rPr>
          <w:rFonts w:ascii="Arial" w:eastAsia="Times New Roman" w:hAnsi="Arial" w:cs="Arial"/>
          <w:sz w:val="24"/>
          <w:szCs w:val="24"/>
          <w:lang w:eastAsia="es-ES"/>
        </w:rPr>
        <w:t xml:space="preserve">el mercado interior en caso de obtención, utilización o divulgación ilícitas de un secreto </w:t>
      </w:r>
      <w:r w:rsidR="00701D86" w:rsidRPr="007E652E">
        <w:rPr>
          <w:rFonts w:ascii="Arial" w:eastAsia="Times New Roman" w:hAnsi="Arial" w:cs="Arial"/>
          <w:sz w:val="24"/>
          <w:szCs w:val="24"/>
          <w:lang w:eastAsia="es-ES"/>
        </w:rPr>
        <w:t>empresarial</w:t>
      </w:r>
      <w:r w:rsidR="00CA6E50" w:rsidRPr="007E652E">
        <w:rPr>
          <w:rFonts w:ascii="Arial" w:eastAsia="Times New Roman" w:hAnsi="Arial" w:cs="Arial"/>
          <w:sz w:val="24"/>
          <w:szCs w:val="24"/>
          <w:lang w:eastAsia="es-ES"/>
        </w:rPr>
        <w:t>, viene a establecer una definición homogénea de</w:t>
      </w:r>
      <w:r w:rsidR="00701D86" w:rsidRPr="007E652E">
        <w:rPr>
          <w:rFonts w:ascii="Arial" w:eastAsia="Times New Roman" w:hAnsi="Arial" w:cs="Arial"/>
          <w:sz w:val="24"/>
          <w:szCs w:val="24"/>
          <w:lang w:eastAsia="es-ES"/>
        </w:rPr>
        <w:t xml:space="preserve"> lo que ha de entenderse por “</w:t>
      </w:r>
      <w:r w:rsidR="00CA6E50" w:rsidRPr="007E652E">
        <w:rPr>
          <w:rFonts w:ascii="Arial" w:eastAsia="Times New Roman" w:hAnsi="Arial" w:cs="Arial"/>
          <w:sz w:val="24"/>
          <w:szCs w:val="24"/>
          <w:lang w:eastAsia="es-ES"/>
        </w:rPr>
        <w:t xml:space="preserve">secreto </w:t>
      </w:r>
      <w:r w:rsidR="00701D86" w:rsidRPr="007E652E">
        <w:rPr>
          <w:rFonts w:ascii="Arial" w:eastAsia="Times New Roman" w:hAnsi="Arial" w:cs="Arial"/>
          <w:sz w:val="24"/>
          <w:szCs w:val="24"/>
          <w:lang w:eastAsia="es-ES"/>
        </w:rPr>
        <w:t>empresarial”</w:t>
      </w:r>
      <w:r w:rsidR="00CA6E50" w:rsidRPr="007E652E">
        <w:rPr>
          <w:rFonts w:ascii="Arial" w:eastAsia="Times New Roman" w:hAnsi="Arial" w:cs="Arial"/>
          <w:sz w:val="24"/>
          <w:szCs w:val="24"/>
          <w:lang w:eastAsia="es-ES"/>
        </w:rPr>
        <w:t xml:space="preserve">, la determinación del alcance de la protección conferida o la protección en sede jurisdiccional civil de los secretos empresariales, al tiempo que pone a disposición de los poseedores legítimos de secretos empresariales las medidas, procedimientos y recursos necesarios para prevenir la realización de actos de obtención, divulgación y utilización ilícitas. </w:t>
      </w:r>
    </w:p>
    <w:p w:rsidR="00B54087" w:rsidRPr="007E652E" w:rsidRDefault="00CA6E5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También comprende entre sus objetivos poner fin a dichos actos, ordenando su cese; remover los efectos de la infracción; resarcir económicamente al poseedor de los daños y perjuicios realmente sufridos </w:t>
      </w:r>
      <w:r w:rsidRPr="007E652E">
        <w:rPr>
          <w:rFonts w:ascii="Arial" w:eastAsia="Times New Roman" w:hAnsi="Arial" w:cs="Arial"/>
          <w:sz w:val="24"/>
          <w:szCs w:val="24"/>
          <w:lang w:eastAsia="es-ES"/>
        </w:rPr>
        <w:lastRenderedPageBreak/>
        <w:t>como consecuencia de la infracción; conseguir un equilibrio adecuado entre la protección de los secretos empresariales y otros intereses públicos, derechos de los trabajadores y el acceso a la información.</w:t>
      </w:r>
    </w:p>
    <w:p w:rsidR="00495A58" w:rsidRPr="007E652E" w:rsidRDefault="00495A58" w:rsidP="006A508E">
      <w:pPr>
        <w:spacing w:before="240" w:after="240" w:line="360" w:lineRule="auto"/>
        <w:ind w:firstLine="567"/>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En </w:t>
      </w:r>
      <w:r w:rsidR="00701D86" w:rsidRPr="007E652E">
        <w:rPr>
          <w:rFonts w:ascii="Arial" w:eastAsia="Times New Roman" w:hAnsi="Arial" w:cs="Arial"/>
          <w:sz w:val="24"/>
          <w:szCs w:val="24"/>
          <w:lang w:eastAsia="es-ES"/>
        </w:rPr>
        <w:t>el ámbito interno,</w:t>
      </w:r>
      <w:r w:rsidRPr="007E652E">
        <w:rPr>
          <w:rFonts w:ascii="Arial" w:eastAsia="Times New Roman" w:hAnsi="Arial" w:cs="Arial"/>
          <w:sz w:val="24"/>
          <w:szCs w:val="24"/>
          <w:lang w:eastAsia="es-ES"/>
        </w:rPr>
        <w:t xml:space="preserve"> el grueso de la regulación sobre protección jurídica de los secretos empresariales se establec</w:t>
      </w:r>
      <w:r w:rsidR="00DC6611" w:rsidRPr="007E652E">
        <w:rPr>
          <w:rFonts w:ascii="Arial" w:eastAsia="Times New Roman" w:hAnsi="Arial" w:cs="Arial"/>
          <w:sz w:val="24"/>
          <w:szCs w:val="24"/>
          <w:lang w:eastAsia="es-ES"/>
        </w:rPr>
        <w:t>e</w:t>
      </w:r>
      <w:r w:rsidRPr="007E652E">
        <w:rPr>
          <w:rFonts w:ascii="Arial" w:eastAsia="Times New Roman" w:hAnsi="Arial" w:cs="Arial"/>
          <w:sz w:val="24"/>
          <w:szCs w:val="24"/>
          <w:lang w:eastAsia="es-ES"/>
        </w:rPr>
        <w:t xml:space="preserve">, hasta la transposición de la </w:t>
      </w:r>
      <w:r w:rsidR="00B00F84">
        <w:rPr>
          <w:rFonts w:ascii="Arial" w:eastAsia="Times New Roman" w:hAnsi="Arial" w:cs="Arial"/>
          <w:sz w:val="24"/>
          <w:szCs w:val="24"/>
          <w:lang w:eastAsia="es-ES"/>
        </w:rPr>
        <w:t>D</w:t>
      </w:r>
      <w:r w:rsidRPr="007E652E">
        <w:rPr>
          <w:rFonts w:ascii="Arial" w:eastAsia="Times New Roman" w:hAnsi="Arial" w:cs="Arial"/>
          <w:sz w:val="24"/>
          <w:szCs w:val="24"/>
          <w:lang w:eastAsia="es-ES"/>
        </w:rPr>
        <w:t>irectiva</w:t>
      </w:r>
      <w:r w:rsidR="00341947" w:rsidRPr="007E652E">
        <w:rPr>
          <w:rFonts w:ascii="Arial" w:eastAsia="Times New Roman" w:hAnsi="Arial" w:cs="Arial"/>
          <w:sz w:val="24"/>
          <w:szCs w:val="24"/>
          <w:lang w:eastAsia="es-ES"/>
        </w:rPr>
        <w:t xml:space="preserve"> (UE)</w:t>
      </w:r>
      <w:r w:rsidRPr="007E652E">
        <w:rPr>
          <w:rFonts w:ascii="Arial" w:eastAsia="Times New Roman" w:hAnsi="Arial" w:cs="Arial"/>
          <w:sz w:val="24"/>
          <w:szCs w:val="24"/>
          <w:lang w:eastAsia="es-ES"/>
        </w:rPr>
        <w:t xml:space="preserve"> 2016/943, en el artículo 13 de la Ley </w:t>
      </w:r>
      <w:r w:rsidR="00DC6611" w:rsidRPr="007E652E">
        <w:rPr>
          <w:rFonts w:ascii="Arial" w:eastAsia="Times New Roman" w:hAnsi="Arial" w:cs="Arial"/>
          <w:sz w:val="24"/>
          <w:szCs w:val="24"/>
          <w:lang w:eastAsia="es-ES"/>
        </w:rPr>
        <w:t xml:space="preserve">3/1991, de 10 de enero, </w:t>
      </w:r>
      <w:r w:rsidRPr="007E652E">
        <w:rPr>
          <w:rFonts w:ascii="Arial" w:eastAsia="Times New Roman" w:hAnsi="Arial" w:cs="Arial"/>
          <w:sz w:val="24"/>
          <w:szCs w:val="24"/>
          <w:lang w:eastAsia="es-ES"/>
        </w:rPr>
        <w:t>de Compe</w:t>
      </w:r>
      <w:r w:rsidR="00990FD4" w:rsidRPr="007E652E">
        <w:rPr>
          <w:rFonts w:ascii="Arial" w:eastAsia="Times New Roman" w:hAnsi="Arial" w:cs="Arial"/>
          <w:sz w:val="24"/>
          <w:szCs w:val="24"/>
          <w:lang w:eastAsia="es-ES"/>
        </w:rPr>
        <w:t xml:space="preserve">tencia Desleal.  Esa regulación, </w:t>
      </w:r>
      <w:r w:rsidRPr="007E652E">
        <w:rPr>
          <w:rFonts w:ascii="Arial" w:eastAsia="Times New Roman" w:hAnsi="Arial" w:cs="Arial"/>
          <w:sz w:val="24"/>
          <w:szCs w:val="24"/>
          <w:lang w:eastAsia="es-ES"/>
        </w:rPr>
        <w:t xml:space="preserve">en el plano sustantivo, configuraba las conductas </w:t>
      </w:r>
      <w:r w:rsidR="00990FD4" w:rsidRPr="007E652E">
        <w:rPr>
          <w:rFonts w:ascii="Arial" w:eastAsia="Times New Roman" w:hAnsi="Arial" w:cs="Arial"/>
          <w:sz w:val="24"/>
          <w:szCs w:val="24"/>
          <w:lang w:eastAsia="es-ES"/>
        </w:rPr>
        <w:t xml:space="preserve">consideradas </w:t>
      </w:r>
      <w:r w:rsidRPr="007E652E">
        <w:rPr>
          <w:rFonts w:ascii="Arial" w:eastAsia="Times New Roman" w:hAnsi="Arial" w:cs="Arial"/>
          <w:sz w:val="24"/>
          <w:szCs w:val="24"/>
          <w:lang w:eastAsia="es-ES"/>
        </w:rPr>
        <w:t xml:space="preserve">ilícitas y sus presupuestos, </w:t>
      </w:r>
      <w:r w:rsidR="00701D86" w:rsidRPr="007E652E">
        <w:rPr>
          <w:rFonts w:ascii="Arial" w:eastAsia="Times New Roman" w:hAnsi="Arial" w:cs="Arial"/>
          <w:sz w:val="24"/>
          <w:szCs w:val="24"/>
          <w:lang w:eastAsia="es-ES"/>
        </w:rPr>
        <w:t>y en el plano procesal,</w:t>
      </w:r>
      <w:r w:rsidRPr="007E652E">
        <w:rPr>
          <w:rFonts w:ascii="Arial" w:eastAsia="Times New Roman" w:hAnsi="Arial" w:cs="Arial"/>
          <w:sz w:val="24"/>
          <w:szCs w:val="24"/>
          <w:lang w:eastAsia="es-ES"/>
        </w:rPr>
        <w:t xml:space="preserve"> se beneficiaba de las acciones de competencia desleal.</w:t>
      </w:r>
    </w:p>
    <w:p w:rsidR="00701D86" w:rsidRPr="007E652E" w:rsidRDefault="00701D86" w:rsidP="006A508E">
      <w:pPr>
        <w:spacing w:before="240" w:after="240" w:line="360" w:lineRule="auto"/>
        <w:ind w:firstLine="567"/>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N</w:t>
      </w:r>
      <w:r w:rsidR="00495A58" w:rsidRPr="007E652E">
        <w:rPr>
          <w:rFonts w:ascii="Arial" w:eastAsia="Times New Roman" w:hAnsi="Arial" w:cs="Arial"/>
          <w:sz w:val="24"/>
          <w:szCs w:val="24"/>
          <w:lang w:eastAsia="es-ES"/>
        </w:rPr>
        <w:t xml:space="preserve">o obstante, dejaba en manos de jueces y tribunales la tarea de dar respuesta a algunas cuestiones </w:t>
      </w:r>
      <w:r w:rsidRPr="007E652E">
        <w:rPr>
          <w:rFonts w:ascii="Arial" w:eastAsia="Times New Roman" w:hAnsi="Arial" w:cs="Arial"/>
          <w:sz w:val="24"/>
          <w:szCs w:val="24"/>
          <w:lang w:eastAsia="es-ES"/>
        </w:rPr>
        <w:t>como</w:t>
      </w:r>
      <w:r w:rsidR="00990FD4" w:rsidRPr="007E652E">
        <w:rPr>
          <w:rFonts w:ascii="Arial" w:eastAsia="Times New Roman" w:hAnsi="Arial" w:cs="Arial"/>
          <w:sz w:val="24"/>
          <w:szCs w:val="24"/>
          <w:lang w:eastAsia="es-ES"/>
        </w:rPr>
        <w:t xml:space="preserve"> son:</w:t>
      </w:r>
      <w:r w:rsidR="00495A58" w:rsidRPr="007E652E">
        <w:rPr>
          <w:rFonts w:ascii="Arial" w:eastAsia="Times New Roman" w:hAnsi="Arial" w:cs="Arial"/>
          <w:sz w:val="24"/>
          <w:szCs w:val="24"/>
          <w:lang w:eastAsia="es-ES"/>
        </w:rPr>
        <w:t xml:space="preserve"> la determinación de la naturaleza de la información susceptible de constituir objeto de un secreto empresarial</w:t>
      </w:r>
      <w:r w:rsidR="00DC6611" w:rsidRPr="007E652E">
        <w:rPr>
          <w:rFonts w:ascii="Arial" w:eastAsia="Times New Roman" w:hAnsi="Arial" w:cs="Arial"/>
          <w:sz w:val="24"/>
          <w:szCs w:val="24"/>
          <w:lang w:eastAsia="es-ES"/>
        </w:rPr>
        <w:t>;</w:t>
      </w:r>
      <w:r w:rsidR="00495A58" w:rsidRPr="007E652E">
        <w:rPr>
          <w:rFonts w:ascii="Arial" w:eastAsia="Times New Roman" w:hAnsi="Arial" w:cs="Arial"/>
          <w:sz w:val="24"/>
          <w:szCs w:val="24"/>
          <w:lang w:eastAsia="es-ES"/>
        </w:rPr>
        <w:t xml:space="preserve"> la delimitación entre secretos empresariales y saberes, habilidades y experiencias que forman parte del patrimonio intelectual y profesional propio de los trabajadores</w:t>
      </w:r>
      <w:r w:rsidR="00DC6611" w:rsidRPr="007E652E">
        <w:rPr>
          <w:rFonts w:ascii="Arial" w:eastAsia="Times New Roman" w:hAnsi="Arial" w:cs="Arial"/>
          <w:sz w:val="24"/>
          <w:szCs w:val="24"/>
          <w:lang w:eastAsia="es-ES"/>
        </w:rPr>
        <w:t>;</w:t>
      </w:r>
      <w:r w:rsidR="00495A58" w:rsidRPr="007E652E">
        <w:rPr>
          <w:rFonts w:ascii="Arial" w:eastAsia="Times New Roman" w:hAnsi="Arial" w:cs="Arial"/>
          <w:sz w:val="24"/>
          <w:szCs w:val="24"/>
          <w:lang w:eastAsia="es-ES"/>
        </w:rPr>
        <w:t xml:space="preserve"> el tratamiento del aprovechamiento de los secretos empresariales ajenos que se han incorporado indebidamente a productos y servicios</w:t>
      </w:r>
      <w:r w:rsidR="00DC6611" w:rsidRPr="007E652E">
        <w:rPr>
          <w:rFonts w:ascii="Arial" w:eastAsia="Times New Roman" w:hAnsi="Arial" w:cs="Arial"/>
          <w:sz w:val="24"/>
          <w:szCs w:val="24"/>
          <w:lang w:eastAsia="es-ES"/>
        </w:rPr>
        <w:t>;</w:t>
      </w:r>
      <w:r w:rsidR="00495A58" w:rsidRPr="007E652E">
        <w:rPr>
          <w:rFonts w:ascii="Arial" w:eastAsia="Times New Roman" w:hAnsi="Arial" w:cs="Arial"/>
          <w:sz w:val="24"/>
          <w:szCs w:val="24"/>
          <w:lang w:eastAsia="es-ES"/>
        </w:rPr>
        <w:t xml:space="preserve"> la calificación de la conducta de quien utiliza secretos empresariales ajenos adquiridos de terceros que los transmiten de forma ilícita</w:t>
      </w:r>
      <w:r w:rsidR="00DC6611" w:rsidRPr="007E652E">
        <w:rPr>
          <w:rFonts w:ascii="Arial" w:eastAsia="Times New Roman" w:hAnsi="Arial" w:cs="Arial"/>
          <w:sz w:val="24"/>
          <w:szCs w:val="24"/>
          <w:lang w:eastAsia="es-ES"/>
        </w:rPr>
        <w:t>;</w:t>
      </w:r>
      <w:r w:rsidR="00495A58" w:rsidRPr="007E652E">
        <w:rPr>
          <w:rFonts w:ascii="Arial" w:eastAsia="Times New Roman" w:hAnsi="Arial" w:cs="Arial"/>
          <w:sz w:val="24"/>
          <w:szCs w:val="24"/>
          <w:lang w:eastAsia="es-ES"/>
        </w:rPr>
        <w:t xml:space="preserve"> o las circunstancias en las que la obtención y comunicación de secretos empresariales ajenos debe quedar al margen de la ilicitud en atención a los objetivos y fines que tratan de alcanzarse de ese modo.</w:t>
      </w:r>
      <w:r w:rsidRPr="007E652E">
        <w:rPr>
          <w:rFonts w:ascii="Arial" w:eastAsia="Times New Roman" w:hAnsi="Arial" w:cs="Arial"/>
          <w:sz w:val="24"/>
          <w:szCs w:val="24"/>
          <w:lang w:eastAsia="es-ES"/>
        </w:rPr>
        <w:t xml:space="preserve"> </w:t>
      </w:r>
    </w:p>
    <w:p w:rsidR="00495A58" w:rsidRPr="007E652E" w:rsidRDefault="00495A58" w:rsidP="006A508E">
      <w:pPr>
        <w:spacing w:before="240" w:after="240" w:line="360" w:lineRule="auto"/>
        <w:ind w:firstLine="567"/>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Asimismo, la regulación hasta ahora vigente presentaba algunas carencias en relación con las medidas</w:t>
      </w:r>
      <w:r w:rsidR="00990FD4" w:rsidRPr="007E652E">
        <w:rPr>
          <w:rFonts w:ascii="Arial" w:eastAsia="Times New Roman" w:hAnsi="Arial" w:cs="Arial"/>
          <w:sz w:val="24"/>
          <w:szCs w:val="24"/>
          <w:lang w:eastAsia="es-ES"/>
        </w:rPr>
        <w:t xml:space="preserve"> procesales</w:t>
      </w:r>
      <w:r w:rsidRPr="007E652E">
        <w:rPr>
          <w:rFonts w:ascii="Arial" w:eastAsia="Times New Roman" w:hAnsi="Arial" w:cs="Arial"/>
          <w:sz w:val="24"/>
          <w:szCs w:val="24"/>
          <w:lang w:eastAsia="es-ES"/>
        </w:rPr>
        <w:t xml:space="preserve"> </w:t>
      </w:r>
      <w:r w:rsidR="00990FD4" w:rsidRPr="007E652E">
        <w:rPr>
          <w:rFonts w:ascii="Arial" w:eastAsia="Times New Roman" w:hAnsi="Arial" w:cs="Arial"/>
          <w:sz w:val="24"/>
          <w:szCs w:val="24"/>
          <w:lang w:eastAsia="es-ES"/>
        </w:rPr>
        <w:t xml:space="preserve">más adecuadas </w:t>
      </w:r>
      <w:r w:rsidRPr="007E652E">
        <w:rPr>
          <w:rFonts w:ascii="Arial" w:eastAsia="Times New Roman" w:hAnsi="Arial" w:cs="Arial"/>
          <w:sz w:val="24"/>
          <w:szCs w:val="24"/>
          <w:lang w:eastAsia="es-ES"/>
        </w:rPr>
        <w:t>para prote</w:t>
      </w:r>
      <w:r w:rsidR="00990FD4" w:rsidRPr="007E652E">
        <w:rPr>
          <w:rFonts w:ascii="Arial" w:eastAsia="Times New Roman" w:hAnsi="Arial" w:cs="Arial"/>
          <w:sz w:val="24"/>
          <w:szCs w:val="24"/>
          <w:lang w:eastAsia="es-ES"/>
        </w:rPr>
        <w:t xml:space="preserve">ger los secretos empresariales: </w:t>
      </w:r>
      <w:r w:rsidRPr="007E652E">
        <w:rPr>
          <w:rFonts w:ascii="Arial" w:eastAsia="Times New Roman" w:hAnsi="Arial" w:cs="Arial"/>
          <w:sz w:val="24"/>
          <w:szCs w:val="24"/>
          <w:lang w:eastAsia="es-ES"/>
        </w:rPr>
        <w:t xml:space="preserve">tanto en la configuración de las acciones de defensa de los secretos empresariales </w:t>
      </w:r>
      <w:r w:rsidR="008A073D"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especialmente en los supuestos en que se hubiera verificado ya la utilización ilegítima de los secretos empresariales ajenos</w:t>
      </w:r>
      <w:r w:rsidR="008A073D"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como en la limitación de los medios de preparación del ejercicio judicial de la acción </w:t>
      </w:r>
      <w:r w:rsidR="008A073D" w:rsidRPr="007E652E">
        <w:rPr>
          <w:rFonts w:ascii="Arial" w:eastAsia="Times New Roman" w:hAnsi="Arial" w:cs="Arial"/>
          <w:sz w:val="24"/>
          <w:szCs w:val="24"/>
          <w:lang w:eastAsia="es-ES"/>
        </w:rPr>
        <w:t>-</w:t>
      </w:r>
      <w:r w:rsidR="00DC6611" w:rsidRPr="007E652E">
        <w:rPr>
          <w:rFonts w:ascii="Arial" w:eastAsia="Times New Roman" w:hAnsi="Arial" w:cs="Arial"/>
          <w:sz w:val="24"/>
          <w:szCs w:val="24"/>
          <w:lang w:eastAsia="es-ES"/>
        </w:rPr>
        <w:t>particular</w:t>
      </w:r>
      <w:r w:rsidRPr="007E652E">
        <w:rPr>
          <w:rFonts w:ascii="Arial" w:eastAsia="Times New Roman" w:hAnsi="Arial" w:cs="Arial"/>
          <w:sz w:val="24"/>
          <w:szCs w:val="24"/>
          <w:lang w:eastAsia="es-ES"/>
        </w:rPr>
        <w:t xml:space="preserve">mente como consecuencia de que no eran aplicables las diligencias preliminares y medidas de aseguramiento de prueba específicas de las acciones de defensa de los derechos de propiedad </w:t>
      </w:r>
      <w:r w:rsidR="00DB6E52">
        <w:rPr>
          <w:rFonts w:ascii="Arial" w:eastAsia="Times New Roman" w:hAnsi="Arial" w:cs="Arial"/>
          <w:sz w:val="24"/>
          <w:szCs w:val="24"/>
          <w:lang w:eastAsia="es-ES"/>
        </w:rPr>
        <w:t>industrial</w:t>
      </w:r>
      <w:r w:rsidR="00DB6E52" w:rsidRPr="007E652E">
        <w:rPr>
          <w:rFonts w:ascii="Arial" w:eastAsia="Times New Roman" w:hAnsi="Arial" w:cs="Arial"/>
          <w:sz w:val="24"/>
          <w:szCs w:val="24"/>
          <w:lang w:eastAsia="es-ES"/>
        </w:rPr>
        <w:t xml:space="preserve"> </w:t>
      </w:r>
      <w:r w:rsidRPr="007E652E">
        <w:rPr>
          <w:rFonts w:ascii="Arial" w:eastAsia="Times New Roman" w:hAnsi="Arial" w:cs="Arial"/>
          <w:sz w:val="24"/>
          <w:szCs w:val="24"/>
          <w:lang w:eastAsia="es-ES"/>
        </w:rPr>
        <w:t>e intelectual</w:t>
      </w:r>
      <w:r w:rsidR="008A073D"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y en un plano más general</w:t>
      </w:r>
      <w:r w:rsidR="00701D86"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en la falta de una regulación </w:t>
      </w:r>
      <w:r w:rsidRPr="007E652E">
        <w:rPr>
          <w:rFonts w:ascii="Arial" w:eastAsia="Times New Roman" w:hAnsi="Arial" w:cs="Arial"/>
          <w:sz w:val="24"/>
          <w:szCs w:val="24"/>
          <w:lang w:eastAsia="es-ES"/>
        </w:rPr>
        <w:lastRenderedPageBreak/>
        <w:t>procesal que permitiera preservar de modo eficaz la confidencialidad de los secretos empresariales en los procedimientos promovidos para su defensa</w:t>
      </w:r>
      <w:r w:rsidR="00DB0A08" w:rsidRPr="007E652E">
        <w:rPr>
          <w:rFonts w:ascii="Arial" w:eastAsia="Times New Roman" w:hAnsi="Arial" w:cs="Arial"/>
          <w:sz w:val="24"/>
          <w:szCs w:val="24"/>
          <w:lang w:eastAsia="es-ES"/>
        </w:rPr>
        <w:t>.</w:t>
      </w:r>
    </w:p>
    <w:p w:rsidR="007244DE" w:rsidRPr="007E652E" w:rsidRDefault="00B54D4C" w:rsidP="00DB4BE4">
      <w:pPr>
        <w:pStyle w:val="Ttulo2"/>
        <w:jc w:val="center"/>
        <w:rPr>
          <w:i w:val="0"/>
        </w:rPr>
      </w:pPr>
      <w:bookmarkStart w:id="8" w:name="_Toc511982516"/>
      <w:r w:rsidRPr="007E652E">
        <w:rPr>
          <w:i w:val="0"/>
        </w:rPr>
        <w:t>1.</w:t>
      </w:r>
      <w:r w:rsidR="007244DE" w:rsidRPr="007E652E">
        <w:rPr>
          <w:i w:val="0"/>
        </w:rPr>
        <w:t>2 Adecuación a los principios de buena regulación</w:t>
      </w:r>
      <w:bookmarkEnd w:id="8"/>
    </w:p>
    <w:p w:rsidR="00283F0C" w:rsidRPr="007E652E" w:rsidRDefault="00283F0C" w:rsidP="006A508E">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Los criterios seguidos en la transposición se han basado en los principios de la buena regulación, comprendiendo el principio de necesidad y eficacia al cumplir la obligación de transposición con fidelidad al texto de la directiva y con la mínima reforma de la actual normativa evitando la dispersión en aras de la simplificación; así como en los principios de proporcionalidad al contener la regulación imprescindible para atender la necesidad a cubrir, y de seguridad jurídica, ya que se realiza con el ánimo de mantener el marco normativo estable, predecible, int</w:t>
      </w:r>
      <w:r w:rsidR="007314A5" w:rsidRPr="007E652E">
        <w:rPr>
          <w:rFonts w:ascii="Arial" w:eastAsia="Times New Roman" w:hAnsi="Arial" w:cs="Arial"/>
          <w:sz w:val="24"/>
          <w:szCs w:val="24"/>
          <w:lang w:val="es-ES_tradnl" w:eastAsia="es-ES"/>
        </w:rPr>
        <w:t>egrado y claro</w:t>
      </w:r>
      <w:r w:rsidRPr="007E652E">
        <w:rPr>
          <w:rFonts w:ascii="Arial" w:eastAsia="Times New Roman" w:hAnsi="Arial" w:cs="Arial"/>
          <w:sz w:val="24"/>
          <w:szCs w:val="24"/>
          <w:lang w:val="es-ES_tradnl" w:eastAsia="es-ES"/>
        </w:rPr>
        <w:t>.</w:t>
      </w:r>
    </w:p>
    <w:p w:rsidR="007513A5" w:rsidRPr="007E652E" w:rsidRDefault="007513A5" w:rsidP="006A508E">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Se pone de manifiesto que la norma es acorde al principio de proporcionalidad, al contener la regulación imprescindible para atender la necesidad a cubrir y, en particular, al atender a este principio en la regulación de las acciones civiles que podrán solicitarse en caso de violación de secretos empresariales tal y como se dispone en el artículo 5 del texto.</w:t>
      </w:r>
    </w:p>
    <w:p w:rsidR="007513A5" w:rsidRPr="007E652E" w:rsidRDefault="007513A5" w:rsidP="006A508E">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En cuanto al principio de transparencia, el anteproyecto ha sido sometido al trámite de consulta pública establecido en el artículo 26.2 de la Ley 50/1997, de 27 de noviembre, del Gobierno, y será sometido al trámite de audiencia e información pública contenido en el artículo 26.6 de la misma ley al afectar a los derechos e intereses legítimos de las personas. Adicionalmente, el texto se someterá a la consideración de la Comisión Nacional de los Mercados y la Competencia.</w:t>
      </w:r>
    </w:p>
    <w:p w:rsidR="00C56E32" w:rsidRPr="007E652E" w:rsidRDefault="00290A69" w:rsidP="00DB4BE4">
      <w:pPr>
        <w:pStyle w:val="Ttulo2"/>
        <w:jc w:val="center"/>
        <w:rPr>
          <w:i w:val="0"/>
          <w:lang w:val="es-ES_tradnl"/>
        </w:rPr>
      </w:pPr>
      <w:bookmarkStart w:id="9" w:name="_Toc511982517"/>
      <w:r w:rsidRPr="007E652E">
        <w:rPr>
          <w:i w:val="0"/>
          <w:lang w:val="es-ES_tradnl"/>
        </w:rPr>
        <w:t>1.</w:t>
      </w:r>
      <w:r w:rsidR="00C56E32" w:rsidRPr="007E652E">
        <w:rPr>
          <w:i w:val="0"/>
          <w:lang w:val="es-ES_tradnl"/>
        </w:rPr>
        <w:t>3 Análisis de alternativas</w:t>
      </w:r>
      <w:bookmarkEnd w:id="9"/>
    </w:p>
    <w:p w:rsidR="00290A69" w:rsidRPr="007E652E" w:rsidRDefault="00290A69"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No hay una alternativa no regulatoria para la transposición de la directiva, que debe ser necesariamente incorporada a la legislación española. No existe, por tanto, alternativa a la introducción de las necesarias modificaciones en la legislación española.</w:t>
      </w:r>
    </w:p>
    <w:p w:rsidR="00290A69" w:rsidRPr="007E652E" w:rsidRDefault="00290A69"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Como toda directiva, obliga a dictar una norma para incorporar sus contenidos al ordenamiento jurídico nacional o a identificar las normas </w:t>
      </w:r>
      <w:r w:rsidRPr="007E652E">
        <w:rPr>
          <w:rFonts w:ascii="Arial" w:eastAsia="Times New Roman" w:hAnsi="Arial" w:cs="Arial"/>
          <w:sz w:val="24"/>
          <w:szCs w:val="24"/>
          <w:lang w:eastAsia="es-ES"/>
        </w:rPr>
        <w:lastRenderedPageBreak/>
        <w:t>mediante las que ya se entiende incorporada ésta. Al crear nuevas obligaciones y derechos, procede que la norma de transposición tenga rango de ley.</w:t>
      </w:r>
    </w:p>
    <w:p w:rsidR="00715678" w:rsidRPr="007E652E" w:rsidRDefault="00715678"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En el plano sustantivo, es a través de la Ley de Competencia Desleal como se ha otorgado protección jurídica a los secretos empresariales en nuestro ordenamiento</w:t>
      </w:r>
      <w:r w:rsidR="00BE5492" w:rsidRPr="007E652E">
        <w:rPr>
          <w:rFonts w:ascii="Arial" w:eastAsia="Times New Roman" w:hAnsi="Arial" w:cs="Arial"/>
          <w:sz w:val="24"/>
          <w:szCs w:val="24"/>
          <w:lang w:eastAsia="es-ES"/>
        </w:rPr>
        <w:t xml:space="preserve"> hasta la fecha</w:t>
      </w:r>
      <w:r w:rsidRPr="007E652E">
        <w:rPr>
          <w:rFonts w:ascii="Arial" w:eastAsia="Times New Roman" w:hAnsi="Arial" w:cs="Arial"/>
          <w:sz w:val="24"/>
          <w:szCs w:val="24"/>
          <w:lang w:eastAsia="es-ES"/>
        </w:rPr>
        <w:t>. Así se venían contemplando las conductas constitutivas de ilícitos desleales tipificados como la violación de secretos (artículo 13 de la norma), la inducción a la infracción contractual (artículo 14 de la norma), o que puedan ser subsumibles dentro de la cláusula general de comportamientos objetivamente contrarios a las exigencias de la buena fe (artículo 4 de la norma).</w:t>
      </w:r>
    </w:p>
    <w:p w:rsidR="00715678" w:rsidRPr="007E652E" w:rsidRDefault="00715678"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Estas normas, esencialmente sustantivas, deben completarse con las previsiones contenidas en la </w:t>
      </w:r>
      <w:r w:rsidR="00646076" w:rsidRPr="007E652E">
        <w:rPr>
          <w:rFonts w:ascii="Arial" w:eastAsia="Times New Roman" w:hAnsi="Arial" w:cs="Arial"/>
          <w:sz w:val="24"/>
          <w:szCs w:val="24"/>
          <w:lang w:eastAsia="es-ES"/>
        </w:rPr>
        <w:t>Ley 1/2000, de 7 de enero, de Enjuiciamiento Civil</w:t>
      </w:r>
      <w:r w:rsidRPr="007E652E">
        <w:rPr>
          <w:rFonts w:ascii="Arial" w:eastAsia="Times New Roman" w:hAnsi="Arial" w:cs="Arial"/>
          <w:sz w:val="24"/>
          <w:szCs w:val="24"/>
          <w:lang w:eastAsia="es-ES"/>
        </w:rPr>
        <w:t>, bien de carácter general bien específicas en esta materia, que en conjunto permite afirmar que se cuenta en España con una regulación que entronca con las pautas europeas que garantizan el respeto a la propiedad industrial y que ofrece medios adecuados y suficientes para su tutela jurisdiccional encomendada a los Juzgados de lo Mercantil por la LO 8/2003, de 9 de julio, para la Reforma Concursal, por la que se modifica la LO 6/1985, de 1 de julio, del Poder Judicial, que los crea</w:t>
      </w:r>
      <w:r w:rsidR="00163877">
        <w:rPr>
          <w:rFonts w:ascii="Arial" w:eastAsia="Times New Roman" w:hAnsi="Arial" w:cs="Arial"/>
          <w:sz w:val="24"/>
          <w:szCs w:val="24"/>
          <w:lang w:eastAsia="es-ES"/>
        </w:rPr>
        <w:t xml:space="preserve"> </w:t>
      </w:r>
      <w:r w:rsidR="00163877" w:rsidRPr="007E652E">
        <w:rPr>
          <w:rFonts w:ascii="Arial" w:eastAsia="Times New Roman" w:hAnsi="Arial" w:cs="Arial"/>
          <w:sz w:val="24"/>
          <w:szCs w:val="24"/>
          <w:lang w:eastAsia="es-ES"/>
        </w:rPr>
        <w:t>(</w:t>
      </w:r>
      <w:r w:rsidR="00163877">
        <w:rPr>
          <w:rFonts w:ascii="Arial" w:eastAsia="Times New Roman" w:hAnsi="Arial" w:cs="Arial"/>
          <w:sz w:val="24"/>
          <w:szCs w:val="24"/>
          <w:lang w:eastAsia="es-ES"/>
        </w:rPr>
        <w:t>artículo 86</w:t>
      </w:r>
      <w:r w:rsidR="00163877" w:rsidRPr="007E652E">
        <w:rPr>
          <w:rFonts w:ascii="Arial" w:eastAsia="Times New Roman" w:hAnsi="Arial" w:cs="Arial"/>
          <w:sz w:val="24"/>
          <w:szCs w:val="24"/>
          <w:lang w:eastAsia="es-ES"/>
        </w:rPr>
        <w:t>.ter LOPJ)</w:t>
      </w:r>
      <w:r w:rsidRPr="007E652E">
        <w:rPr>
          <w:rFonts w:ascii="Arial" w:eastAsia="Times New Roman" w:hAnsi="Arial" w:cs="Arial"/>
          <w:sz w:val="24"/>
          <w:szCs w:val="24"/>
          <w:lang w:eastAsia="es-ES"/>
        </w:rPr>
        <w:t>,  y que aprovecha la ocasión en los</w:t>
      </w:r>
      <w:r w:rsidR="00163877">
        <w:rPr>
          <w:rFonts w:ascii="Arial" w:eastAsia="Times New Roman" w:hAnsi="Arial" w:cs="Arial"/>
          <w:sz w:val="24"/>
          <w:szCs w:val="24"/>
          <w:lang w:eastAsia="es-ES"/>
        </w:rPr>
        <w:t xml:space="preserve"> artículos</w:t>
      </w:r>
      <w:r w:rsidRPr="007E652E">
        <w:rPr>
          <w:rFonts w:ascii="Arial" w:eastAsia="Times New Roman" w:hAnsi="Arial" w:cs="Arial"/>
          <w:sz w:val="24"/>
          <w:szCs w:val="24"/>
          <w:lang w:eastAsia="es-ES"/>
        </w:rPr>
        <w:t xml:space="preserve"> </w:t>
      </w:r>
      <w:r w:rsidR="00163877">
        <w:rPr>
          <w:rFonts w:ascii="Arial" w:eastAsia="Times New Roman" w:hAnsi="Arial" w:cs="Arial"/>
          <w:sz w:val="24"/>
          <w:szCs w:val="24"/>
          <w:lang w:eastAsia="es-ES"/>
        </w:rPr>
        <w:t>86</w:t>
      </w:r>
      <w:r w:rsidRPr="007E652E">
        <w:rPr>
          <w:rFonts w:ascii="Arial" w:eastAsia="Times New Roman" w:hAnsi="Arial" w:cs="Arial"/>
          <w:sz w:val="24"/>
          <w:szCs w:val="24"/>
          <w:lang w:eastAsia="es-ES"/>
        </w:rPr>
        <w:t xml:space="preserve">.bis.4 y 82.4 </w:t>
      </w:r>
      <w:r w:rsidR="00163877">
        <w:rPr>
          <w:rFonts w:ascii="Arial" w:eastAsia="Times New Roman" w:hAnsi="Arial" w:cs="Arial"/>
          <w:sz w:val="24"/>
          <w:szCs w:val="24"/>
          <w:lang w:eastAsia="es-ES"/>
        </w:rPr>
        <w:t xml:space="preserve">de la </w:t>
      </w:r>
      <w:r w:rsidRPr="007E652E">
        <w:rPr>
          <w:rFonts w:ascii="Arial" w:eastAsia="Times New Roman" w:hAnsi="Arial" w:cs="Arial"/>
          <w:sz w:val="24"/>
          <w:szCs w:val="24"/>
          <w:lang w:eastAsia="es-ES"/>
        </w:rPr>
        <w:t>LOPJ para la creación del Juzgado y Tribunal de Marca Comunitaria que se residencian en los juzgados de lo mercantil y a la sección correspondiente de la Audiencia Provincial de Alicante, en primera y segunda instancia, respectivamente, extendiendo su jurisdicción estos exclusivos efectos- a todo el territorio nacional.</w:t>
      </w:r>
    </w:p>
    <w:p w:rsidR="00537B85" w:rsidRPr="007E652E" w:rsidRDefault="00537B85"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Nuestro Código Penal, por su parte, en sus artículos 278 a 280, también otorga protección a los secretos empresariales, imponiendo penas de prisión que pueden alcanzar hasta los cinco años, si bien nuestros Tribunales son bastante reacios a considerar la existencia de tales delitos siendo más proclives a entender que se trata de ilícitos </w:t>
      </w:r>
      <w:proofErr w:type="gramStart"/>
      <w:r w:rsidRPr="007E652E">
        <w:rPr>
          <w:rFonts w:ascii="Arial" w:eastAsia="Times New Roman" w:hAnsi="Arial" w:cs="Arial"/>
          <w:sz w:val="24"/>
          <w:szCs w:val="24"/>
          <w:lang w:eastAsia="es-ES"/>
        </w:rPr>
        <w:t>civiles pero no penales</w:t>
      </w:r>
      <w:proofErr w:type="gramEnd"/>
      <w:r w:rsidRPr="007E652E">
        <w:rPr>
          <w:rFonts w:ascii="Arial" w:eastAsia="Times New Roman" w:hAnsi="Arial" w:cs="Arial"/>
          <w:sz w:val="24"/>
          <w:szCs w:val="24"/>
          <w:lang w:eastAsia="es-ES"/>
        </w:rPr>
        <w:t>.</w:t>
      </w:r>
    </w:p>
    <w:p w:rsidR="007244DE" w:rsidRPr="007E652E" w:rsidRDefault="00290A69"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lastRenderedPageBreak/>
        <w:t xml:space="preserve">A la vista de la extensión de las cuestiones reguladas por la directiva </w:t>
      </w:r>
      <w:r w:rsidR="00DC6611" w:rsidRPr="007E652E">
        <w:rPr>
          <w:rFonts w:ascii="Arial" w:eastAsia="Times New Roman" w:hAnsi="Arial" w:cs="Arial"/>
          <w:sz w:val="24"/>
          <w:szCs w:val="24"/>
          <w:lang w:eastAsia="es-ES"/>
        </w:rPr>
        <w:t>europea,</w:t>
      </w:r>
      <w:r w:rsidRPr="007E652E">
        <w:rPr>
          <w:rFonts w:ascii="Arial" w:eastAsia="Times New Roman" w:hAnsi="Arial" w:cs="Arial"/>
          <w:sz w:val="24"/>
          <w:szCs w:val="24"/>
          <w:lang w:eastAsia="es-ES"/>
        </w:rPr>
        <w:t xml:space="preserve"> así como a la vista de la dificultad de cohonestar la sistemática de la regulación de la misma con la de la Ley </w:t>
      </w:r>
      <w:r w:rsidR="00DC6611" w:rsidRPr="007E652E">
        <w:rPr>
          <w:rFonts w:ascii="Arial" w:eastAsia="Times New Roman" w:hAnsi="Arial" w:cs="Arial"/>
          <w:sz w:val="24"/>
          <w:szCs w:val="24"/>
          <w:lang w:eastAsia="es-ES"/>
        </w:rPr>
        <w:t xml:space="preserve">3/1991, de 10 de enero, </w:t>
      </w:r>
      <w:r w:rsidRPr="007E652E">
        <w:rPr>
          <w:rFonts w:ascii="Arial" w:eastAsia="Times New Roman" w:hAnsi="Arial" w:cs="Arial"/>
          <w:sz w:val="24"/>
          <w:szCs w:val="24"/>
          <w:lang w:eastAsia="es-ES"/>
        </w:rPr>
        <w:t xml:space="preserve">de Competencia Desleal, </w:t>
      </w:r>
      <w:r w:rsidR="00537B85" w:rsidRPr="007E652E">
        <w:rPr>
          <w:rFonts w:ascii="Arial" w:eastAsia="Times New Roman" w:hAnsi="Arial" w:cs="Arial"/>
          <w:sz w:val="24"/>
          <w:szCs w:val="24"/>
          <w:lang w:eastAsia="es-ES"/>
        </w:rPr>
        <w:t xml:space="preserve">y en su parte procesal, con la </w:t>
      </w:r>
      <w:r w:rsidR="00646076" w:rsidRPr="007E652E">
        <w:rPr>
          <w:rFonts w:ascii="Arial" w:eastAsia="Times New Roman" w:hAnsi="Arial" w:cs="Arial"/>
          <w:sz w:val="24"/>
          <w:szCs w:val="24"/>
          <w:lang w:eastAsia="es-ES"/>
        </w:rPr>
        <w:t>Ley 1/2000, de 7 de enero, de Enjuiciamiento Civil</w:t>
      </w:r>
      <w:r w:rsidR="00537B85" w:rsidRPr="007E652E">
        <w:rPr>
          <w:rFonts w:ascii="Arial" w:eastAsia="Times New Roman" w:hAnsi="Arial" w:cs="Arial"/>
          <w:sz w:val="24"/>
          <w:szCs w:val="24"/>
          <w:lang w:eastAsia="es-ES"/>
        </w:rPr>
        <w:t xml:space="preserve">, </w:t>
      </w:r>
      <w:r w:rsidRPr="007E652E">
        <w:rPr>
          <w:rFonts w:ascii="Arial" w:eastAsia="Times New Roman" w:hAnsi="Arial" w:cs="Arial"/>
          <w:sz w:val="24"/>
          <w:szCs w:val="24"/>
          <w:lang w:eastAsia="es-ES"/>
        </w:rPr>
        <w:t xml:space="preserve">resulta obligado efectuar la transposición por medio de una </w:t>
      </w:r>
      <w:r w:rsidR="00DC6611" w:rsidRPr="007E652E">
        <w:rPr>
          <w:rFonts w:ascii="Arial" w:eastAsia="Times New Roman" w:hAnsi="Arial" w:cs="Arial"/>
          <w:sz w:val="24"/>
          <w:szCs w:val="24"/>
          <w:lang w:eastAsia="es-ES"/>
        </w:rPr>
        <w:t>norma de rango legal</w:t>
      </w:r>
      <w:r w:rsidRPr="007E652E">
        <w:rPr>
          <w:rFonts w:ascii="Arial" w:eastAsia="Times New Roman" w:hAnsi="Arial" w:cs="Arial"/>
          <w:sz w:val="24"/>
          <w:szCs w:val="24"/>
          <w:lang w:eastAsia="es-ES"/>
        </w:rPr>
        <w:t>.</w:t>
      </w:r>
    </w:p>
    <w:p w:rsidR="00DC6611" w:rsidRPr="007E652E" w:rsidRDefault="00DC6611"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Para llevar a cabo esta labor han sido contempladas dos alternativas:</w:t>
      </w:r>
    </w:p>
    <w:p w:rsidR="00DC6611" w:rsidRPr="007E652E" w:rsidRDefault="00DC6611"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i) Incorporar la</w:t>
      </w:r>
      <w:r w:rsidR="006C55B1" w:rsidRPr="007E652E">
        <w:rPr>
          <w:rFonts w:ascii="Arial" w:eastAsia="Times New Roman" w:hAnsi="Arial" w:cs="Arial"/>
          <w:sz w:val="24"/>
          <w:szCs w:val="24"/>
          <w:lang w:eastAsia="es-ES"/>
        </w:rPr>
        <w:t>s previsiones sustantivas de la directiva en la legislación de competencia desleal y las procesales en la de enjuiciamiento civil.</w:t>
      </w:r>
    </w:p>
    <w:p w:rsidR="006C55B1" w:rsidRPr="007E652E" w:rsidRDefault="006C55B1"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ii) Impulsar una ley especial.</w:t>
      </w:r>
    </w:p>
    <w:p w:rsidR="006C55B1" w:rsidRPr="007E652E" w:rsidRDefault="006C55B1" w:rsidP="00290A69">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Esta segunda opción ha sido considerada más adecuada. Por una parte, la regulación de la directiva europea no tiene fácil encaje en la estructura de las dos leyes citadas (la Ley 3/1991, de 10 de enero, de Competencia Desleal y la Ley 1/2000, de 7 de enero, de Enjuiciamiento Civil), cuya ordenación sistemática se vería alterada de insertarse en ellas el régimen sustantivo y procesal de protección de los secretos empresariales. Por otra parte, estos secretos merecen una regulación propia, como aquella de la que ya disponen otros derecho</w:t>
      </w:r>
      <w:r w:rsidR="002E6B39" w:rsidRPr="007E652E">
        <w:rPr>
          <w:rFonts w:ascii="Arial" w:eastAsia="Times New Roman" w:hAnsi="Arial" w:cs="Arial"/>
          <w:sz w:val="24"/>
          <w:szCs w:val="24"/>
          <w:lang w:eastAsia="es-ES"/>
        </w:rPr>
        <w:t>s</w:t>
      </w:r>
      <w:r w:rsidRPr="007E652E">
        <w:rPr>
          <w:rFonts w:ascii="Arial" w:eastAsia="Times New Roman" w:hAnsi="Arial" w:cs="Arial"/>
          <w:sz w:val="24"/>
          <w:szCs w:val="24"/>
          <w:lang w:eastAsia="es-ES"/>
        </w:rPr>
        <w:t xml:space="preserve"> patrimoniales de propiedad industrial,</w:t>
      </w:r>
      <w:r w:rsidR="00847AED" w:rsidRPr="007E652E">
        <w:rPr>
          <w:rFonts w:ascii="Arial" w:eastAsia="Times New Roman" w:hAnsi="Arial" w:cs="Arial"/>
          <w:sz w:val="24"/>
          <w:szCs w:val="24"/>
          <w:lang w:eastAsia="es-ES"/>
        </w:rPr>
        <w:t xml:space="preserve"> como, por ejemplo,</w:t>
      </w:r>
      <w:r w:rsidRPr="007E652E">
        <w:rPr>
          <w:rFonts w:ascii="Arial" w:eastAsia="Times New Roman" w:hAnsi="Arial" w:cs="Arial"/>
          <w:sz w:val="24"/>
          <w:szCs w:val="24"/>
          <w:lang w:eastAsia="es-ES"/>
        </w:rPr>
        <w:t xml:space="preserve"> las patentes</w:t>
      </w:r>
      <w:r w:rsidR="002E6B39" w:rsidRPr="007E652E">
        <w:rPr>
          <w:rFonts w:ascii="Arial" w:eastAsia="Times New Roman" w:hAnsi="Arial" w:cs="Arial"/>
          <w:sz w:val="24"/>
          <w:szCs w:val="24"/>
          <w:lang w:eastAsia="es-ES"/>
        </w:rPr>
        <w:t>,</w:t>
      </w:r>
      <w:r w:rsidR="00847AED" w:rsidRPr="007E652E">
        <w:rPr>
          <w:rFonts w:ascii="Arial" w:eastAsia="Times New Roman" w:hAnsi="Arial" w:cs="Arial"/>
          <w:sz w:val="24"/>
          <w:szCs w:val="24"/>
          <w:lang w:eastAsia="es-ES"/>
        </w:rPr>
        <w:t xml:space="preserve"> los diseños industriales,</w:t>
      </w:r>
      <w:r w:rsidR="002E6B39" w:rsidRPr="007E652E">
        <w:rPr>
          <w:rFonts w:ascii="Arial" w:eastAsia="Times New Roman" w:hAnsi="Arial" w:cs="Arial"/>
          <w:sz w:val="24"/>
          <w:szCs w:val="24"/>
          <w:lang w:eastAsia="es-ES"/>
        </w:rPr>
        <w:t xml:space="preserve"> las </w:t>
      </w:r>
      <w:r w:rsidR="00847AED" w:rsidRPr="007E652E">
        <w:rPr>
          <w:rFonts w:ascii="Arial" w:eastAsia="Times New Roman" w:hAnsi="Arial" w:cs="Arial"/>
          <w:sz w:val="24"/>
          <w:szCs w:val="24"/>
          <w:lang w:eastAsia="es-ES"/>
        </w:rPr>
        <w:t>obtenciones vegetales</w:t>
      </w:r>
      <w:r w:rsidR="002E6B39" w:rsidRPr="007E652E">
        <w:rPr>
          <w:rFonts w:ascii="Arial" w:eastAsia="Times New Roman" w:hAnsi="Arial" w:cs="Arial"/>
          <w:sz w:val="24"/>
          <w:szCs w:val="24"/>
          <w:lang w:eastAsia="es-ES"/>
        </w:rPr>
        <w:t xml:space="preserve"> o las topografías de productos semiconductores</w:t>
      </w:r>
      <w:r w:rsidRPr="007E652E">
        <w:rPr>
          <w:rFonts w:ascii="Arial" w:eastAsia="Times New Roman" w:hAnsi="Arial" w:cs="Arial"/>
          <w:sz w:val="24"/>
          <w:szCs w:val="24"/>
          <w:lang w:eastAsia="es-ES"/>
        </w:rPr>
        <w:t>.</w:t>
      </w:r>
    </w:p>
    <w:p w:rsidR="007244DE" w:rsidRPr="007E652E" w:rsidRDefault="007314A5" w:rsidP="00DB4BE4">
      <w:pPr>
        <w:pStyle w:val="Ttulo2"/>
        <w:jc w:val="center"/>
        <w:rPr>
          <w:i w:val="0"/>
          <w:lang w:val="es-ES_tradnl"/>
        </w:rPr>
      </w:pPr>
      <w:bookmarkStart w:id="10" w:name="_Toc511982518"/>
      <w:r w:rsidRPr="007E652E">
        <w:rPr>
          <w:i w:val="0"/>
          <w:lang w:val="es-ES_tradnl"/>
        </w:rPr>
        <w:t>1.</w:t>
      </w:r>
      <w:r w:rsidR="007244DE" w:rsidRPr="007E652E">
        <w:rPr>
          <w:i w:val="0"/>
          <w:lang w:val="es-ES_tradnl"/>
        </w:rPr>
        <w:t>4 Inclusión en el Plan Anual Normativo 2018</w:t>
      </w:r>
      <w:bookmarkEnd w:id="10"/>
    </w:p>
    <w:p w:rsidR="007244DE" w:rsidRPr="007E652E" w:rsidRDefault="007244DE" w:rsidP="006A508E">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La presente propuesta se encuentra recogida en el Plan Anual Normativo 2018</w:t>
      </w:r>
      <w:r w:rsidR="00DC6611" w:rsidRPr="007E652E">
        <w:rPr>
          <w:rFonts w:ascii="Arial" w:eastAsia="Times New Roman" w:hAnsi="Arial" w:cs="Arial"/>
          <w:sz w:val="24"/>
          <w:szCs w:val="24"/>
          <w:lang w:val="es-ES_tradnl" w:eastAsia="es-ES"/>
        </w:rPr>
        <w:t>, como iniciativa de rango legal promovida</w:t>
      </w:r>
      <w:r w:rsidRPr="007E652E">
        <w:rPr>
          <w:rFonts w:ascii="Arial" w:eastAsia="Times New Roman" w:hAnsi="Arial" w:cs="Arial"/>
          <w:sz w:val="24"/>
          <w:szCs w:val="24"/>
          <w:lang w:val="es-ES_tradnl" w:eastAsia="es-ES"/>
        </w:rPr>
        <w:t xml:space="preserve"> </w:t>
      </w:r>
      <w:r w:rsidR="00DC6611" w:rsidRPr="007E652E">
        <w:rPr>
          <w:rFonts w:ascii="Arial" w:eastAsia="Times New Roman" w:hAnsi="Arial" w:cs="Arial"/>
          <w:sz w:val="24"/>
          <w:szCs w:val="24"/>
          <w:lang w:val="es-ES_tradnl" w:eastAsia="es-ES"/>
        </w:rPr>
        <w:t xml:space="preserve">por </w:t>
      </w:r>
      <w:r w:rsidRPr="007E652E">
        <w:rPr>
          <w:rFonts w:ascii="Arial" w:eastAsia="Times New Roman" w:hAnsi="Arial" w:cs="Arial"/>
          <w:sz w:val="24"/>
          <w:szCs w:val="24"/>
          <w:lang w:val="es-ES_tradnl" w:eastAsia="es-ES"/>
        </w:rPr>
        <w:t>el Ministerio de Justicia.</w:t>
      </w:r>
    </w:p>
    <w:p w:rsidR="00F11D45" w:rsidRPr="007E652E" w:rsidRDefault="00F11D45" w:rsidP="006A508E">
      <w:pPr>
        <w:spacing w:before="240" w:after="240"/>
        <w:jc w:val="center"/>
        <w:rPr>
          <w:rFonts w:ascii="Arial" w:eastAsia="Times New Roman" w:hAnsi="Arial" w:cs="Arial"/>
          <w:b/>
          <w:caps/>
          <w:sz w:val="24"/>
          <w:szCs w:val="24"/>
          <w:u w:val="single"/>
          <w:lang w:eastAsia="es-ES"/>
        </w:rPr>
      </w:pPr>
    </w:p>
    <w:p w:rsidR="00F11D79" w:rsidRPr="007E652E" w:rsidRDefault="00F11D79" w:rsidP="00DB4BE4">
      <w:pPr>
        <w:pStyle w:val="Ttulo1"/>
        <w:rPr>
          <w:szCs w:val="24"/>
          <w:u w:val="single"/>
        </w:rPr>
      </w:pPr>
      <w:bookmarkStart w:id="11" w:name="_Toc511982519"/>
      <w:r w:rsidRPr="007E652E">
        <w:rPr>
          <w:szCs w:val="24"/>
          <w:u w:val="single"/>
        </w:rPr>
        <w:t>2. CONTENIDO Y ANÁLISIS JURÍDICO</w:t>
      </w:r>
      <w:bookmarkEnd w:id="11"/>
    </w:p>
    <w:p w:rsidR="001418FE" w:rsidRPr="007E652E" w:rsidRDefault="001418FE" w:rsidP="00DB4BE4">
      <w:pPr>
        <w:pStyle w:val="Ttulo2"/>
        <w:jc w:val="center"/>
        <w:rPr>
          <w:i w:val="0"/>
          <w:lang w:val="es-ES_tradnl"/>
        </w:rPr>
      </w:pPr>
      <w:bookmarkStart w:id="12" w:name="_Toc511982520"/>
      <w:r w:rsidRPr="007E652E">
        <w:rPr>
          <w:i w:val="0"/>
          <w:lang w:val="es-ES_tradnl"/>
        </w:rPr>
        <w:t>2.1 Novedades introducidas por la propuesta de norma</w:t>
      </w:r>
      <w:bookmarkEnd w:id="12"/>
    </w:p>
    <w:p w:rsidR="00746F47" w:rsidRPr="007E652E" w:rsidRDefault="00746F47" w:rsidP="006A508E">
      <w:pPr>
        <w:spacing w:before="240" w:after="240" w:line="360" w:lineRule="auto"/>
        <w:ind w:firstLine="708"/>
        <w:jc w:val="both"/>
        <w:rPr>
          <w:rFonts w:ascii="Arial" w:hAnsi="Arial" w:cs="Arial"/>
          <w:bCs/>
          <w:kern w:val="28"/>
          <w:sz w:val="24"/>
          <w:szCs w:val="24"/>
          <w:lang w:eastAsia="es-ES_tradnl" w:bidi="he-IL"/>
        </w:rPr>
      </w:pPr>
      <w:r w:rsidRPr="007E652E">
        <w:rPr>
          <w:rFonts w:ascii="Arial" w:hAnsi="Arial" w:cs="Arial"/>
          <w:bCs/>
          <w:kern w:val="28"/>
          <w:sz w:val="24"/>
          <w:szCs w:val="24"/>
          <w:lang w:eastAsia="es-ES_tradnl" w:bidi="he-IL"/>
        </w:rPr>
        <w:t xml:space="preserve">La ley se estructura en </w:t>
      </w:r>
      <w:r w:rsidR="00F82AF3" w:rsidRPr="007E652E">
        <w:rPr>
          <w:rFonts w:ascii="Arial" w:hAnsi="Arial" w:cs="Arial"/>
          <w:bCs/>
          <w:kern w:val="28"/>
          <w:sz w:val="24"/>
          <w:szCs w:val="24"/>
          <w:lang w:eastAsia="es-ES_tradnl" w:bidi="he-IL"/>
        </w:rPr>
        <w:t>veint</w:t>
      </w:r>
      <w:r w:rsidR="001E5D00">
        <w:rPr>
          <w:rFonts w:ascii="Arial" w:hAnsi="Arial" w:cs="Arial"/>
          <w:bCs/>
          <w:kern w:val="28"/>
          <w:sz w:val="24"/>
          <w:szCs w:val="24"/>
          <w:lang w:eastAsia="es-ES_tradnl" w:bidi="he-IL"/>
        </w:rPr>
        <w:t>icinco</w:t>
      </w:r>
      <w:r w:rsidRPr="007E652E">
        <w:rPr>
          <w:rFonts w:ascii="Arial" w:hAnsi="Arial" w:cs="Arial"/>
          <w:bCs/>
          <w:kern w:val="28"/>
          <w:sz w:val="24"/>
          <w:szCs w:val="24"/>
          <w:lang w:eastAsia="es-ES_tradnl" w:bidi="he-IL"/>
        </w:rPr>
        <w:t xml:space="preserve"> artículos distribuidos en </w:t>
      </w:r>
      <w:r w:rsidR="00B00F84" w:rsidRPr="007E652E">
        <w:rPr>
          <w:rFonts w:ascii="Arial" w:hAnsi="Arial" w:cs="Arial"/>
          <w:bCs/>
          <w:kern w:val="28"/>
          <w:sz w:val="24"/>
          <w:szCs w:val="24"/>
          <w:lang w:eastAsia="es-ES_tradnl" w:bidi="he-IL"/>
        </w:rPr>
        <w:t>c</w:t>
      </w:r>
      <w:r w:rsidR="00B00F84">
        <w:rPr>
          <w:rFonts w:ascii="Arial" w:hAnsi="Arial" w:cs="Arial"/>
          <w:bCs/>
          <w:kern w:val="28"/>
          <w:sz w:val="24"/>
          <w:szCs w:val="24"/>
          <w:lang w:eastAsia="es-ES_tradnl" w:bidi="he-IL"/>
        </w:rPr>
        <w:t>inc</w:t>
      </w:r>
      <w:r w:rsidR="00B00F84" w:rsidRPr="007E652E">
        <w:rPr>
          <w:rFonts w:ascii="Arial" w:hAnsi="Arial" w:cs="Arial"/>
          <w:bCs/>
          <w:kern w:val="28"/>
          <w:sz w:val="24"/>
          <w:szCs w:val="24"/>
          <w:lang w:eastAsia="es-ES_tradnl" w:bidi="he-IL"/>
        </w:rPr>
        <w:t xml:space="preserve">o </w:t>
      </w:r>
      <w:r w:rsidR="00D340FD" w:rsidRPr="007E652E">
        <w:rPr>
          <w:rFonts w:ascii="Arial" w:hAnsi="Arial" w:cs="Arial"/>
          <w:bCs/>
          <w:kern w:val="28"/>
          <w:sz w:val="24"/>
          <w:szCs w:val="24"/>
          <w:lang w:eastAsia="es-ES_tradnl" w:bidi="he-IL"/>
        </w:rPr>
        <w:t>c</w:t>
      </w:r>
      <w:r w:rsidRPr="007E652E">
        <w:rPr>
          <w:rFonts w:ascii="Arial" w:hAnsi="Arial" w:cs="Arial"/>
          <w:bCs/>
          <w:kern w:val="28"/>
          <w:sz w:val="24"/>
          <w:szCs w:val="24"/>
          <w:lang w:eastAsia="es-ES_tradnl" w:bidi="he-IL"/>
        </w:rPr>
        <w:t xml:space="preserve">apítulos, una disposición transitoria única y </w:t>
      </w:r>
      <w:r w:rsidR="001E5D00">
        <w:rPr>
          <w:rFonts w:ascii="Arial" w:hAnsi="Arial" w:cs="Arial"/>
          <w:bCs/>
          <w:kern w:val="28"/>
          <w:sz w:val="24"/>
          <w:szCs w:val="24"/>
          <w:lang w:eastAsia="es-ES_tradnl" w:bidi="he-IL"/>
        </w:rPr>
        <w:t>cinco</w:t>
      </w:r>
      <w:r w:rsidRPr="007E652E">
        <w:rPr>
          <w:rFonts w:ascii="Arial" w:hAnsi="Arial" w:cs="Arial"/>
          <w:bCs/>
          <w:kern w:val="28"/>
          <w:sz w:val="24"/>
          <w:szCs w:val="24"/>
          <w:lang w:eastAsia="es-ES_tradnl" w:bidi="he-IL"/>
        </w:rPr>
        <w:t xml:space="preserve"> disposiciones finales.</w:t>
      </w:r>
    </w:p>
    <w:p w:rsidR="00746F47" w:rsidRPr="007E652E" w:rsidRDefault="00C97A53" w:rsidP="006A508E">
      <w:pPr>
        <w:spacing w:before="240" w:after="240" w:line="360" w:lineRule="auto"/>
        <w:ind w:firstLine="708"/>
        <w:jc w:val="both"/>
        <w:rPr>
          <w:rFonts w:ascii="Arial" w:hAnsi="Arial" w:cs="Arial"/>
          <w:bCs/>
          <w:kern w:val="28"/>
          <w:sz w:val="24"/>
          <w:szCs w:val="24"/>
          <w:lang w:eastAsia="es-ES_tradnl" w:bidi="he-IL"/>
        </w:rPr>
      </w:pPr>
      <w:r w:rsidRPr="007E652E">
        <w:rPr>
          <w:rFonts w:ascii="Arial" w:hAnsi="Arial" w:cs="Arial"/>
          <w:bCs/>
          <w:kern w:val="28"/>
          <w:sz w:val="24"/>
          <w:szCs w:val="24"/>
          <w:lang w:eastAsia="es-ES_tradnl" w:bidi="he-IL"/>
        </w:rPr>
        <w:lastRenderedPageBreak/>
        <w:t>El texto proyectado sigue la estructura y mandatos de</w:t>
      </w:r>
      <w:r w:rsidR="00746F47" w:rsidRPr="007E652E">
        <w:rPr>
          <w:rFonts w:ascii="Arial" w:hAnsi="Arial" w:cs="Arial"/>
          <w:bCs/>
          <w:kern w:val="28"/>
          <w:sz w:val="24"/>
          <w:szCs w:val="24"/>
          <w:lang w:eastAsia="es-ES_tradnl" w:bidi="he-IL"/>
        </w:rPr>
        <w:t xml:space="preserve"> la </w:t>
      </w:r>
      <w:r w:rsidR="00FC48CA" w:rsidRPr="007E652E">
        <w:rPr>
          <w:rFonts w:ascii="Arial" w:hAnsi="Arial" w:cs="Arial"/>
          <w:bCs/>
          <w:kern w:val="28"/>
          <w:sz w:val="24"/>
          <w:szCs w:val="24"/>
          <w:lang w:eastAsia="es-ES_tradnl" w:bidi="he-IL"/>
        </w:rPr>
        <w:t>d</w:t>
      </w:r>
      <w:r w:rsidR="00746F47" w:rsidRPr="007E652E">
        <w:rPr>
          <w:rFonts w:ascii="Arial" w:hAnsi="Arial" w:cs="Arial"/>
          <w:bCs/>
          <w:kern w:val="28"/>
          <w:sz w:val="24"/>
          <w:szCs w:val="24"/>
          <w:lang w:eastAsia="es-ES_tradnl" w:bidi="he-IL"/>
        </w:rPr>
        <w:t xml:space="preserve">irectiva, </w:t>
      </w:r>
      <w:r w:rsidRPr="007E652E">
        <w:rPr>
          <w:rFonts w:ascii="Arial" w:hAnsi="Arial" w:cs="Arial"/>
          <w:bCs/>
          <w:kern w:val="28"/>
          <w:sz w:val="24"/>
          <w:szCs w:val="24"/>
          <w:lang w:eastAsia="es-ES_tradnl" w:bidi="he-IL"/>
        </w:rPr>
        <w:t xml:space="preserve">la cual, </w:t>
      </w:r>
      <w:r w:rsidR="00746F47" w:rsidRPr="007E652E">
        <w:rPr>
          <w:rFonts w:ascii="Arial" w:hAnsi="Arial" w:cs="Arial"/>
          <w:bCs/>
          <w:kern w:val="28"/>
          <w:sz w:val="24"/>
          <w:szCs w:val="24"/>
          <w:lang w:eastAsia="es-ES_tradnl" w:bidi="he-IL"/>
        </w:rPr>
        <w:t>no obstante prev</w:t>
      </w:r>
      <w:r w:rsidR="00B15837" w:rsidRPr="007E652E">
        <w:rPr>
          <w:rFonts w:ascii="Arial" w:hAnsi="Arial" w:cs="Arial"/>
          <w:bCs/>
          <w:kern w:val="28"/>
          <w:sz w:val="24"/>
          <w:szCs w:val="24"/>
          <w:lang w:eastAsia="es-ES_tradnl" w:bidi="he-IL"/>
        </w:rPr>
        <w:t>é</w:t>
      </w:r>
      <w:r w:rsidR="00746F47" w:rsidRPr="007E652E">
        <w:rPr>
          <w:rFonts w:ascii="Arial" w:hAnsi="Arial" w:cs="Arial"/>
          <w:bCs/>
          <w:kern w:val="28"/>
          <w:sz w:val="24"/>
          <w:szCs w:val="24"/>
          <w:lang w:eastAsia="es-ES_tradnl" w:bidi="he-IL"/>
        </w:rPr>
        <w:t xml:space="preserve"> una armonización de mínimos, ha establecido algunas dispo</w:t>
      </w:r>
      <w:r w:rsidRPr="007E652E">
        <w:rPr>
          <w:rFonts w:ascii="Arial" w:hAnsi="Arial" w:cs="Arial"/>
          <w:bCs/>
          <w:kern w:val="28"/>
          <w:sz w:val="24"/>
          <w:szCs w:val="24"/>
          <w:lang w:eastAsia="es-ES_tradnl" w:bidi="he-IL"/>
        </w:rPr>
        <w:t>siciones de carácter imperativo no recogidas en nuestro ordenamiento jurídico por lo que deben ser incorporada</w:t>
      </w:r>
      <w:r w:rsidR="00746F47" w:rsidRPr="007E652E">
        <w:rPr>
          <w:rFonts w:ascii="Arial" w:hAnsi="Arial" w:cs="Arial"/>
          <w:bCs/>
          <w:kern w:val="28"/>
          <w:sz w:val="24"/>
          <w:szCs w:val="24"/>
          <w:lang w:eastAsia="es-ES_tradnl" w:bidi="he-IL"/>
        </w:rPr>
        <w:t>s.</w:t>
      </w:r>
    </w:p>
    <w:p w:rsidR="00746F47" w:rsidRPr="007E652E" w:rsidRDefault="00746F47" w:rsidP="006A508E">
      <w:pPr>
        <w:spacing w:before="240" w:after="240" w:line="360" w:lineRule="auto"/>
        <w:ind w:firstLine="708"/>
        <w:jc w:val="both"/>
        <w:rPr>
          <w:rFonts w:ascii="Arial" w:hAnsi="Arial" w:cs="Arial"/>
          <w:bCs/>
          <w:kern w:val="28"/>
          <w:sz w:val="24"/>
          <w:szCs w:val="24"/>
          <w:lang w:eastAsia="es-ES_tradnl" w:bidi="he-IL"/>
        </w:rPr>
      </w:pPr>
      <w:r w:rsidRPr="007E652E">
        <w:rPr>
          <w:rFonts w:ascii="Arial" w:hAnsi="Arial" w:cs="Arial"/>
          <w:bCs/>
          <w:kern w:val="28"/>
          <w:sz w:val="24"/>
          <w:szCs w:val="24"/>
          <w:lang w:eastAsia="es-ES_tradnl" w:bidi="he-IL"/>
        </w:rPr>
        <w:t>Así sucede en particular en relación con determinadas cuestiones, como</w:t>
      </w:r>
      <w:r w:rsidR="00C97A53" w:rsidRPr="007E652E">
        <w:rPr>
          <w:rFonts w:ascii="Arial" w:hAnsi="Arial" w:cs="Arial"/>
          <w:bCs/>
          <w:kern w:val="28"/>
          <w:sz w:val="24"/>
          <w:szCs w:val="24"/>
          <w:lang w:eastAsia="es-ES_tradnl" w:bidi="he-IL"/>
        </w:rPr>
        <w:t xml:space="preserve"> son</w:t>
      </w:r>
      <w:r w:rsidRPr="007E652E">
        <w:rPr>
          <w:rFonts w:ascii="Arial" w:hAnsi="Arial" w:cs="Arial"/>
          <w:bCs/>
          <w:kern w:val="28"/>
          <w:sz w:val="24"/>
          <w:szCs w:val="24"/>
          <w:lang w:eastAsia="es-ES_tradnl" w:bidi="he-IL"/>
        </w:rPr>
        <w:t xml:space="preserve"> la definición de secreto empresarial; la definición de las conductas infractoras</w:t>
      </w:r>
      <w:r w:rsidR="00C97A53" w:rsidRPr="007E652E">
        <w:rPr>
          <w:rFonts w:ascii="Arial" w:hAnsi="Arial" w:cs="Arial"/>
          <w:bCs/>
          <w:kern w:val="28"/>
          <w:sz w:val="24"/>
          <w:szCs w:val="24"/>
          <w:lang w:eastAsia="es-ES_tradnl" w:bidi="he-IL"/>
        </w:rPr>
        <w:t xml:space="preserve"> de los secretos empresariales;</w:t>
      </w:r>
      <w:r w:rsidRPr="007E652E">
        <w:rPr>
          <w:rFonts w:ascii="Arial" w:hAnsi="Arial" w:cs="Arial"/>
          <w:bCs/>
          <w:kern w:val="28"/>
          <w:sz w:val="24"/>
          <w:szCs w:val="24"/>
          <w:lang w:eastAsia="es-ES_tradnl" w:bidi="he-IL"/>
        </w:rPr>
        <w:t xml:space="preserve"> la extensión de la protección de los secretos empresariales a ciertas mercancías que los incorporan de forma ilícita; la aclaración de las conductas en las que la obtención, utilización o revelación de secretos empresariales ajenos no puede considerarse ilícita, con una especial atención a la preservación de los derechos e intereses legítimos de los trabajadores y de sus representantes; la determinación de las acciones de defensa frente a la infracción de los secretos empresariales, o el establecimiento de ciertas disposiciones procesales específicas de los procedimientos en que se sustancien, como son las relativas a la preservación de la confidencialidad de los secretos en el procedimiento por infracción o a las medidas cautelares.</w:t>
      </w:r>
    </w:p>
    <w:p w:rsidR="00A97185" w:rsidRPr="007E652E" w:rsidRDefault="00A97185"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La </w:t>
      </w:r>
      <w:r w:rsidR="001418FE" w:rsidRPr="007E652E">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irectiva armoniza, en síntesis, para </w:t>
      </w:r>
      <w:r w:rsidR="00F756B0" w:rsidRPr="007E652E">
        <w:rPr>
          <w:rFonts w:ascii="Arial" w:eastAsia="Times New Roman" w:hAnsi="Arial" w:cs="Arial"/>
          <w:sz w:val="24"/>
          <w:szCs w:val="24"/>
          <w:lang w:eastAsia="es-ES"/>
        </w:rPr>
        <w:t>toda la Unión Europea</w:t>
      </w:r>
      <w:r w:rsidRPr="007E652E">
        <w:rPr>
          <w:rFonts w:ascii="Arial" w:eastAsia="Times New Roman" w:hAnsi="Arial" w:cs="Arial"/>
          <w:sz w:val="24"/>
          <w:szCs w:val="24"/>
          <w:lang w:eastAsia="es-ES"/>
        </w:rPr>
        <w:t xml:space="preserve">, el concepto de secreto </w:t>
      </w:r>
      <w:r w:rsidR="000F7961" w:rsidRPr="007E652E">
        <w:rPr>
          <w:rFonts w:ascii="Arial" w:eastAsia="Times New Roman" w:hAnsi="Arial" w:cs="Arial"/>
          <w:sz w:val="24"/>
          <w:szCs w:val="24"/>
          <w:lang w:eastAsia="es-ES"/>
        </w:rPr>
        <w:t>empresarial</w:t>
      </w:r>
      <w:r w:rsidRPr="007E652E">
        <w:rPr>
          <w:rFonts w:ascii="Arial" w:eastAsia="Times New Roman" w:hAnsi="Arial" w:cs="Arial"/>
          <w:sz w:val="24"/>
          <w:szCs w:val="24"/>
          <w:lang w:eastAsia="es-ES"/>
        </w:rPr>
        <w:t xml:space="preserve">, </w:t>
      </w:r>
      <w:r w:rsidR="000F7961" w:rsidRPr="007E652E">
        <w:rPr>
          <w:rFonts w:ascii="Arial" w:eastAsia="Times New Roman" w:hAnsi="Arial" w:cs="Arial"/>
          <w:sz w:val="24"/>
          <w:szCs w:val="24"/>
          <w:lang w:eastAsia="es-ES"/>
        </w:rPr>
        <w:t>su</w:t>
      </w:r>
      <w:r w:rsidRPr="007E652E">
        <w:rPr>
          <w:rFonts w:ascii="Arial" w:eastAsia="Times New Roman" w:hAnsi="Arial" w:cs="Arial"/>
          <w:sz w:val="24"/>
          <w:szCs w:val="24"/>
          <w:lang w:eastAsia="es-ES"/>
        </w:rPr>
        <w:t xml:space="preserve"> titular, los comportamientos sancionados en relación con la información calificada como secreto </w:t>
      </w:r>
      <w:r w:rsidR="000F7961" w:rsidRPr="007E652E">
        <w:rPr>
          <w:rFonts w:ascii="Arial" w:eastAsia="Times New Roman" w:hAnsi="Arial" w:cs="Arial"/>
          <w:sz w:val="24"/>
          <w:szCs w:val="24"/>
          <w:lang w:eastAsia="es-ES"/>
        </w:rPr>
        <w:t>empresarial</w:t>
      </w:r>
      <w:r w:rsidRPr="007E652E">
        <w:rPr>
          <w:rFonts w:ascii="Arial" w:eastAsia="Times New Roman" w:hAnsi="Arial" w:cs="Arial"/>
          <w:sz w:val="24"/>
          <w:szCs w:val="24"/>
          <w:lang w:eastAsia="es-ES"/>
        </w:rPr>
        <w:t>, las excepciones a los comportamientos ilícitos</w:t>
      </w:r>
      <w:r w:rsidR="002E6B39"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así como las medidas, procedimientos y recursos que proceden para la protección jurídica de los secretos empresariales.</w:t>
      </w:r>
    </w:p>
    <w:p w:rsidR="00A97185" w:rsidRPr="007E652E" w:rsidRDefault="00A97185"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En este sentido, el art. 2 de la </w:t>
      </w:r>
      <w:r w:rsidR="001418FE" w:rsidRPr="007E652E">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irectiva define qué debe entenderse por </w:t>
      </w:r>
      <w:r w:rsidR="009C7A22"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secreto comercial</w:t>
      </w:r>
      <w:r w:rsidR="009C7A22"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w:t>
      </w:r>
      <w:r w:rsidR="0056750A" w:rsidRPr="007E652E">
        <w:rPr>
          <w:rFonts w:ascii="Arial" w:eastAsia="Times New Roman" w:hAnsi="Arial" w:cs="Arial"/>
          <w:sz w:val="24"/>
          <w:szCs w:val="24"/>
          <w:lang w:eastAsia="es-ES"/>
        </w:rPr>
        <w:t xml:space="preserve">en el que deben concurrir cumulativamente (se habla de </w:t>
      </w:r>
      <w:r w:rsidR="009C7A22" w:rsidRPr="007E652E">
        <w:rPr>
          <w:rFonts w:ascii="Arial" w:eastAsia="Times New Roman" w:hAnsi="Arial" w:cs="Arial"/>
          <w:sz w:val="24"/>
          <w:szCs w:val="24"/>
          <w:lang w:eastAsia="es-ES"/>
        </w:rPr>
        <w:t>“</w:t>
      </w:r>
      <w:r w:rsidR="0056750A" w:rsidRPr="007E652E">
        <w:rPr>
          <w:rFonts w:ascii="Arial" w:eastAsia="Times New Roman" w:hAnsi="Arial" w:cs="Arial"/>
          <w:sz w:val="24"/>
          <w:szCs w:val="24"/>
          <w:lang w:eastAsia="es-ES"/>
        </w:rPr>
        <w:t>todos</w:t>
      </w:r>
      <w:r w:rsidR="009C7A22" w:rsidRPr="007E652E">
        <w:rPr>
          <w:rFonts w:ascii="Arial" w:eastAsia="Times New Roman" w:hAnsi="Arial" w:cs="Arial"/>
          <w:sz w:val="24"/>
          <w:szCs w:val="24"/>
          <w:lang w:eastAsia="es-ES"/>
        </w:rPr>
        <w:t>”</w:t>
      </w:r>
      <w:r w:rsidR="0056750A" w:rsidRPr="007E652E">
        <w:rPr>
          <w:rFonts w:ascii="Arial" w:eastAsia="Times New Roman" w:hAnsi="Arial" w:cs="Arial"/>
          <w:sz w:val="24"/>
          <w:szCs w:val="24"/>
          <w:lang w:eastAsia="es-ES"/>
        </w:rPr>
        <w:t xml:space="preserve">) los siguientes requisitos: (i) en primer lugar, que la información cubierta sea </w:t>
      </w:r>
      <w:r w:rsidR="003A49C0" w:rsidRPr="007E652E">
        <w:rPr>
          <w:rFonts w:ascii="Arial" w:eastAsia="Times New Roman" w:hAnsi="Arial" w:cs="Arial"/>
          <w:sz w:val="24"/>
          <w:szCs w:val="24"/>
          <w:lang w:eastAsia="es-ES"/>
        </w:rPr>
        <w:t>”</w:t>
      </w:r>
      <w:r w:rsidR="0056750A" w:rsidRPr="007E652E">
        <w:rPr>
          <w:rFonts w:ascii="Arial" w:eastAsia="Times New Roman" w:hAnsi="Arial" w:cs="Arial"/>
          <w:sz w:val="24"/>
          <w:szCs w:val="24"/>
          <w:lang w:eastAsia="es-ES"/>
        </w:rPr>
        <w:t>secreta</w:t>
      </w:r>
      <w:r w:rsidR="003A49C0" w:rsidRPr="007E652E">
        <w:rPr>
          <w:rFonts w:ascii="Arial" w:eastAsia="Times New Roman" w:hAnsi="Arial" w:cs="Arial"/>
          <w:sz w:val="24"/>
          <w:szCs w:val="24"/>
          <w:lang w:eastAsia="es-ES"/>
        </w:rPr>
        <w:t>”</w:t>
      </w:r>
      <w:r w:rsidR="0056750A" w:rsidRPr="007E652E">
        <w:rPr>
          <w:rFonts w:ascii="Arial" w:eastAsia="Times New Roman" w:hAnsi="Arial" w:cs="Arial"/>
          <w:sz w:val="24"/>
          <w:szCs w:val="24"/>
          <w:lang w:eastAsia="es-ES"/>
        </w:rPr>
        <w:t xml:space="preserve"> en el sentido de que no sea, en su conjunto o en su dimensión específica de sus componentes, generalmente conocida por las personas pertenecientes a los círculos en que normalmente se utilice el tipo de información en cuestión, ni fácilmente accesible para estas; (ii) que la información tenga un valor comercial, basado justamente en su carácter secreto; y (iii) que aquella haya sido objeto de medidas razonables, en las </w:t>
      </w:r>
      <w:r w:rsidR="0056750A" w:rsidRPr="007E652E">
        <w:rPr>
          <w:rFonts w:ascii="Arial" w:eastAsia="Times New Roman" w:hAnsi="Arial" w:cs="Arial"/>
          <w:sz w:val="24"/>
          <w:szCs w:val="24"/>
          <w:lang w:eastAsia="es-ES"/>
        </w:rPr>
        <w:lastRenderedPageBreak/>
        <w:t>circunstancias del caso, para mantenerla secreta, tomadas por la persona que legítimamente ejerza su control.</w:t>
      </w:r>
    </w:p>
    <w:p w:rsidR="00A97185" w:rsidRPr="007E652E" w:rsidRDefault="003C73BF"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L</w:t>
      </w:r>
      <w:r w:rsidR="000F7961" w:rsidRPr="007E652E">
        <w:rPr>
          <w:rFonts w:ascii="Arial" w:eastAsia="Times New Roman" w:hAnsi="Arial" w:cs="Arial"/>
          <w:sz w:val="24"/>
          <w:szCs w:val="24"/>
          <w:lang w:eastAsia="es-ES"/>
        </w:rPr>
        <w:t xml:space="preserve">os comportamientos sancionados son la obtención, la utilización y la revelación ilícitas de los secretos </w:t>
      </w:r>
      <w:r w:rsidRPr="007E652E">
        <w:rPr>
          <w:rFonts w:ascii="Arial" w:eastAsia="Times New Roman" w:hAnsi="Arial" w:cs="Arial"/>
          <w:sz w:val="24"/>
          <w:szCs w:val="24"/>
          <w:lang w:eastAsia="es-ES"/>
        </w:rPr>
        <w:t>empresariales</w:t>
      </w:r>
      <w:r w:rsidR="000F7961" w:rsidRPr="007E652E">
        <w:rPr>
          <w:rFonts w:ascii="Arial" w:eastAsia="Times New Roman" w:hAnsi="Arial" w:cs="Arial"/>
          <w:sz w:val="24"/>
          <w:szCs w:val="24"/>
          <w:lang w:eastAsia="es-ES"/>
        </w:rPr>
        <w:t xml:space="preserve">. No obstante, no se define en el texto de la </w:t>
      </w:r>
      <w:r w:rsidRPr="007E652E">
        <w:rPr>
          <w:rFonts w:ascii="Arial" w:eastAsia="Times New Roman" w:hAnsi="Arial" w:cs="Arial"/>
          <w:sz w:val="24"/>
          <w:szCs w:val="24"/>
          <w:lang w:eastAsia="es-ES"/>
        </w:rPr>
        <w:t>d</w:t>
      </w:r>
      <w:r w:rsidR="000F7961" w:rsidRPr="007E652E">
        <w:rPr>
          <w:rFonts w:ascii="Arial" w:eastAsia="Times New Roman" w:hAnsi="Arial" w:cs="Arial"/>
          <w:sz w:val="24"/>
          <w:szCs w:val="24"/>
          <w:lang w:eastAsia="es-ES"/>
        </w:rPr>
        <w:t xml:space="preserve">irectiva qué debe entenderse por cada una de estas actuaciones, dejando al arbitrio de los Estados miembros su concreción, lo que en el presente </w:t>
      </w:r>
      <w:r w:rsidRPr="007E652E">
        <w:rPr>
          <w:rFonts w:ascii="Arial" w:eastAsia="Times New Roman" w:hAnsi="Arial" w:cs="Arial"/>
          <w:sz w:val="24"/>
          <w:szCs w:val="24"/>
          <w:lang w:eastAsia="es-ES"/>
        </w:rPr>
        <w:t>anteproyecto</w:t>
      </w:r>
      <w:r w:rsidR="000F7961" w:rsidRPr="007E652E">
        <w:rPr>
          <w:rFonts w:ascii="Arial" w:eastAsia="Times New Roman" w:hAnsi="Arial" w:cs="Arial"/>
          <w:sz w:val="24"/>
          <w:szCs w:val="24"/>
          <w:lang w:eastAsia="es-ES"/>
        </w:rPr>
        <w:t xml:space="preserve"> se contiene en el artículo 3 bajo la rúbrica “Violación de secretos empresariales”</w:t>
      </w:r>
      <w:r w:rsidR="00C97A53" w:rsidRPr="007E652E">
        <w:rPr>
          <w:rFonts w:ascii="Arial" w:eastAsia="Times New Roman" w:hAnsi="Arial" w:cs="Arial"/>
          <w:sz w:val="24"/>
          <w:szCs w:val="24"/>
          <w:lang w:eastAsia="es-ES"/>
        </w:rPr>
        <w:t>.</w:t>
      </w:r>
    </w:p>
    <w:p w:rsidR="007759D6" w:rsidRPr="007E652E" w:rsidRDefault="00C97A53"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En este sentido, destacan como comportamientos sancionados la simple obtención de secretos empresariales “sin consentimiento de su titular”, por lo que lo fundamental es que el acceso no esté autorizado. </w:t>
      </w:r>
      <w:r w:rsidR="001E07FF" w:rsidRPr="007E652E">
        <w:rPr>
          <w:rFonts w:ascii="Arial" w:eastAsia="Times New Roman" w:hAnsi="Arial" w:cs="Arial"/>
          <w:sz w:val="24"/>
          <w:szCs w:val="24"/>
          <w:lang w:eastAsia="es-ES"/>
        </w:rPr>
        <w:t>Además, justificará la calificación de ilícita la “utilización o revelación” de un secreto empresarial, que sí exige un comportamiento activo por parte de quien realice el hecho infractor.</w:t>
      </w:r>
    </w:p>
    <w:p w:rsidR="00221FD4" w:rsidRPr="007E652E" w:rsidRDefault="003300F3"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Como complemento de lo anterior, la </w:t>
      </w:r>
      <w:r w:rsidR="001418FE" w:rsidRPr="007E652E">
        <w:rPr>
          <w:rFonts w:ascii="Arial" w:eastAsia="Times New Roman" w:hAnsi="Arial" w:cs="Arial"/>
          <w:sz w:val="24"/>
          <w:szCs w:val="24"/>
          <w:lang w:eastAsia="es-ES"/>
        </w:rPr>
        <w:t>d</w:t>
      </w:r>
      <w:r w:rsidRPr="007E652E">
        <w:rPr>
          <w:rFonts w:ascii="Arial" w:eastAsia="Times New Roman" w:hAnsi="Arial" w:cs="Arial"/>
          <w:sz w:val="24"/>
          <w:szCs w:val="24"/>
          <w:lang w:eastAsia="es-ES"/>
        </w:rPr>
        <w:t>irectiva contempla en su artículo 5 una serie de excepciones a los comportamientos ilícitos optándose en la transposición por invertir el orden de la regulación comunitaria y dedicar el artículo 2 a la “obtención, utilización y revelación líc</w:t>
      </w:r>
      <w:r w:rsidR="00221FD4" w:rsidRPr="007E652E">
        <w:rPr>
          <w:rFonts w:ascii="Arial" w:eastAsia="Times New Roman" w:hAnsi="Arial" w:cs="Arial"/>
          <w:sz w:val="24"/>
          <w:szCs w:val="24"/>
          <w:lang w:eastAsia="es-ES"/>
        </w:rPr>
        <w:t>itas de secretos empresariales”.</w:t>
      </w:r>
    </w:p>
    <w:p w:rsidR="003300F3" w:rsidRPr="007E652E" w:rsidRDefault="00221FD4"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Como novedad destacable</w:t>
      </w:r>
      <w:r w:rsidR="003300F3" w:rsidRPr="007E652E">
        <w:rPr>
          <w:rFonts w:ascii="Arial" w:eastAsia="Times New Roman" w:hAnsi="Arial" w:cs="Arial"/>
          <w:sz w:val="24"/>
          <w:szCs w:val="24"/>
          <w:lang w:eastAsia="es-ES"/>
        </w:rPr>
        <w:t xml:space="preserve"> </w:t>
      </w:r>
      <w:r w:rsidRPr="007E652E">
        <w:rPr>
          <w:rFonts w:ascii="Arial" w:eastAsia="Times New Roman" w:hAnsi="Arial" w:cs="Arial"/>
          <w:sz w:val="24"/>
          <w:szCs w:val="24"/>
          <w:lang w:eastAsia="es-ES"/>
        </w:rPr>
        <w:t>hay que señalar</w:t>
      </w:r>
      <w:r w:rsidR="003300F3" w:rsidRPr="007E652E">
        <w:rPr>
          <w:rFonts w:ascii="Arial" w:eastAsia="Times New Roman" w:hAnsi="Arial" w:cs="Arial"/>
          <w:sz w:val="24"/>
          <w:szCs w:val="24"/>
          <w:lang w:eastAsia="es-ES"/>
        </w:rPr>
        <w:t xml:space="preserve"> la </w:t>
      </w:r>
      <w:r w:rsidR="00FC48CA" w:rsidRPr="007E652E">
        <w:rPr>
          <w:rFonts w:ascii="Arial" w:eastAsia="Times New Roman" w:hAnsi="Arial" w:cs="Arial"/>
          <w:sz w:val="24"/>
          <w:szCs w:val="24"/>
          <w:lang w:eastAsia="es-ES"/>
        </w:rPr>
        <w:t>protección</w:t>
      </w:r>
      <w:r w:rsidR="003300F3" w:rsidRPr="007E652E">
        <w:rPr>
          <w:rFonts w:ascii="Arial" w:eastAsia="Times New Roman" w:hAnsi="Arial" w:cs="Arial"/>
          <w:sz w:val="24"/>
          <w:szCs w:val="24"/>
          <w:lang w:eastAsia="es-ES"/>
        </w:rPr>
        <w:t xml:space="preserve"> de la figura de los “</w:t>
      </w:r>
      <w:proofErr w:type="spellStart"/>
      <w:r w:rsidR="003300F3" w:rsidRPr="007E652E">
        <w:rPr>
          <w:rFonts w:ascii="Arial" w:eastAsia="Times New Roman" w:hAnsi="Arial" w:cs="Arial"/>
          <w:sz w:val="24"/>
          <w:szCs w:val="24"/>
          <w:lang w:eastAsia="es-ES"/>
        </w:rPr>
        <w:t>whistleblowers</w:t>
      </w:r>
      <w:proofErr w:type="spellEnd"/>
      <w:r w:rsidR="003300F3" w:rsidRPr="007E652E">
        <w:rPr>
          <w:rFonts w:ascii="Arial" w:eastAsia="Times New Roman" w:hAnsi="Arial" w:cs="Arial"/>
          <w:sz w:val="24"/>
          <w:szCs w:val="24"/>
          <w:lang w:eastAsia="es-ES"/>
        </w:rPr>
        <w:t>” o personas que divulgan un hecho confidencial con el fin de denunciar una situación ilegal o una irregularidad</w:t>
      </w:r>
      <w:r w:rsidR="00A845BC" w:rsidRPr="007E652E">
        <w:rPr>
          <w:rFonts w:ascii="Arial" w:eastAsia="Times New Roman" w:hAnsi="Arial" w:cs="Arial"/>
          <w:sz w:val="24"/>
          <w:szCs w:val="24"/>
          <w:lang w:eastAsia="es-ES"/>
        </w:rPr>
        <w:t>, frente a los que no procederán acciones civiles en su contra cuando hayan obtenido, utilizado o revelado un secreto “con la finalidad de descubrir, en defensa del interés general, alguna falta, irregularidad o actividad ilegal”</w:t>
      </w:r>
      <w:r w:rsidR="00501601" w:rsidRPr="007E652E">
        <w:rPr>
          <w:rFonts w:ascii="Arial" w:eastAsia="Times New Roman" w:hAnsi="Arial" w:cs="Arial"/>
          <w:sz w:val="24"/>
          <w:szCs w:val="24"/>
          <w:lang w:eastAsia="es-ES"/>
        </w:rPr>
        <w:t xml:space="preserve"> o “con el fin de proteger un interés legítimo reconocido por la ley”</w:t>
      </w:r>
      <w:r w:rsidR="00A845BC" w:rsidRPr="007E652E">
        <w:rPr>
          <w:rFonts w:ascii="Arial" w:eastAsia="Times New Roman" w:hAnsi="Arial" w:cs="Arial"/>
          <w:sz w:val="24"/>
          <w:szCs w:val="24"/>
          <w:lang w:eastAsia="es-ES"/>
        </w:rPr>
        <w:t>.</w:t>
      </w:r>
    </w:p>
    <w:p w:rsidR="001F575C" w:rsidRPr="007E652E" w:rsidRDefault="001F57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La </w:t>
      </w:r>
      <w:r w:rsidR="001418FE" w:rsidRPr="007E652E">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irectiva establece el siguiente catálogo de acciones a entablar por el poseedor legítimo de un secreto empresarial frente al autor de la conducta ilícita: (a) acción de cesación o en su caso de prohibición de la utilización o revelación del secreto empresarial, o de la fabricación, ofrecimiento, comercialización o utilización de las mercancías infractoras, o de su importación, exportación o almacenamiento con tales fines; (b) acción de </w:t>
      </w:r>
      <w:r w:rsidRPr="007E652E">
        <w:rPr>
          <w:rFonts w:ascii="Arial" w:eastAsia="Times New Roman" w:hAnsi="Arial" w:cs="Arial"/>
          <w:sz w:val="24"/>
          <w:szCs w:val="24"/>
          <w:lang w:eastAsia="es-ES"/>
        </w:rPr>
        <w:lastRenderedPageBreak/>
        <w:t>remoción de los efectos de la infracción, mediante la adopción, a expensas del infractor, de medidas correctoras apropiadas; (c) acción de resarcimiento de daños y perjuicios, mediando culpa o negligencia del infractor; (d) acción de difusión de la información relativa a la sentencia que se dicte, incluida su publicación total o parcial, según resulte apropiado.</w:t>
      </w:r>
    </w:p>
    <w:p w:rsidR="001F575C" w:rsidRPr="007E652E" w:rsidRDefault="001F57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Asimismo, el </w:t>
      </w:r>
      <w:r w:rsidR="00FC48CA" w:rsidRPr="007E652E">
        <w:rPr>
          <w:rFonts w:ascii="Arial" w:eastAsia="Times New Roman" w:hAnsi="Arial" w:cs="Arial"/>
          <w:sz w:val="24"/>
          <w:szCs w:val="24"/>
          <w:lang w:eastAsia="es-ES"/>
        </w:rPr>
        <w:t xml:space="preserve">titular </w:t>
      </w:r>
      <w:r w:rsidRPr="007E652E">
        <w:rPr>
          <w:rFonts w:ascii="Arial" w:eastAsia="Times New Roman" w:hAnsi="Arial" w:cs="Arial"/>
          <w:sz w:val="24"/>
          <w:szCs w:val="24"/>
          <w:lang w:eastAsia="es-ES"/>
        </w:rPr>
        <w:t xml:space="preserve">legítimo del secreto empresarial podrá </w:t>
      </w:r>
      <w:r w:rsidR="003C73BF" w:rsidRPr="007E652E">
        <w:rPr>
          <w:rFonts w:ascii="Arial" w:eastAsia="Times New Roman" w:hAnsi="Arial" w:cs="Arial"/>
          <w:sz w:val="24"/>
          <w:szCs w:val="24"/>
          <w:lang w:eastAsia="es-ES"/>
        </w:rPr>
        <w:t xml:space="preserve">recabar </w:t>
      </w:r>
      <w:r w:rsidRPr="007E652E">
        <w:rPr>
          <w:rFonts w:ascii="Arial" w:eastAsia="Times New Roman" w:hAnsi="Arial" w:cs="Arial"/>
          <w:sz w:val="24"/>
          <w:szCs w:val="24"/>
          <w:lang w:eastAsia="es-ES"/>
        </w:rPr>
        <w:t xml:space="preserve">la tutela cautelar de los órganos jurisdiccionales, solicitando la adopción de medidas cautelares consistentes en: (a) el cese o, en su caso, la prohibición de utilizar o revelar el secreto empresarial con carácter provisional; (b) la prohibición de fabricar, ofrecer, comercializar o utilizar mercancías infractoras o de importar, exportar o almacenar mercancías infractoras con tales fines; (c) la incautación o la entrega de las supuestas mercancías infractoras, incluidas las mercancías importadas, a fin de impedir su introducción o su circulación en el mercado. </w:t>
      </w:r>
    </w:p>
    <w:p w:rsidR="00C46385" w:rsidRDefault="001F57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Los Estados miembros deberán además establecer disposiciones legales que garanticen la obligación de confidencialidad de los intervinientes.</w:t>
      </w:r>
    </w:p>
    <w:p w:rsidR="00B00F84" w:rsidRPr="007E652E" w:rsidRDefault="00B00F84" w:rsidP="006A508E">
      <w:pPr>
        <w:spacing w:before="240" w:after="240" w:line="360" w:lineRule="auto"/>
        <w:ind w:firstLine="708"/>
        <w:jc w:val="both"/>
        <w:rPr>
          <w:rFonts w:ascii="Arial" w:eastAsia="Times New Roman" w:hAnsi="Arial" w:cs="Arial"/>
          <w:sz w:val="24"/>
          <w:szCs w:val="24"/>
          <w:lang w:eastAsia="es-ES"/>
        </w:rPr>
      </w:pPr>
      <w:r w:rsidRPr="00B00F84">
        <w:rPr>
          <w:rFonts w:ascii="Arial" w:eastAsia="Times New Roman" w:hAnsi="Arial" w:cs="Arial"/>
          <w:sz w:val="24"/>
          <w:szCs w:val="24"/>
          <w:lang w:eastAsia="es-ES"/>
        </w:rPr>
        <w:t xml:space="preserve">El Capítulo III, sin tener origen directo en </w:t>
      </w:r>
      <w:r w:rsidR="00BC7E21">
        <w:rPr>
          <w:rFonts w:ascii="Arial" w:eastAsia="Times New Roman" w:hAnsi="Arial" w:cs="Arial"/>
          <w:sz w:val="24"/>
          <w:szCs w:val="24"/>
          <w:lang w:eastAsia="es-ES"/>
        </w:rPr>
        <w:t>el articulado</w:t>
      </w:r>
      <w:r w:rsidRPr="00B00F84">
        <w:rPr>
          <w:rFonts w:ascii="Arial" w:eastAsia="Times New Roman" w:hAnsi="Arial" w:cs="Arial"/>
          <w:sz w:val="24"/>
          <w:szCs w:val="24"/>
          <w:lang w:eastAsia="es-ES"/>
        </w:rPr>
        <w:t xml:space="preserve"> de la directiva, complementa y perfecciona su contenido, al abordar, mediante reglas dispositivas, la vertiente patrimonial del secreto empresarial. Se trata, en definitiva, de previsiones que, en defecto de acuerdo entre las partes, ordenan someramente cómo se desenvuelve la potencial cotitularidad del secreto empresarial y su transmisibilidad, en particular si se articula mediante licencia contractual.</w:t>
      </w:r>
    </w:p>
    <w:p w:rsidR="00353845" w:rsidRPr="007E652E" w:rsidRDefault="00B00F84" w:rsidP="006A508E">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1F575C" w:rsidRPr="007E652E">
        <w:rPr>
          <w:rFonts w:ascii="Arial" w:eastAsia="Times New Roman" w:hAnsi="Arial" w:cs="Arial"/>
          <w:sz w:val="24"/>
          <w:szCs w:val="24"/>
          <w:lang w:eastAsia="es-ES"/>
        </w:rPr>
        <w:t xml:space="preserve">n el </w:t>
      </w:r>
      <w:r>
        <w:rPr>
          <w:rFonts w:ascii="Arial" w:eastAsia="Times New Roman" w:hAnsi="Arial" w:cs="Arial"/>
          <w:sz w:val="24"/>
          <w:szCs w:val="24"/>
          <w:lang w:eastAsia="es-ES"/>
        </w:rPr>
        <w:t>C</w:t>
      </w:r>
      <w:r w:rsidR="001F575C" w:rsidRPr="007E652E">
        <w:rPr>
          <w:rFonts w:ascii="Arial" w:eastAsia="Times New Roman" w:hAnsi="Arial" w:cs="Arial"/>
          <w:sz w:val="24"/>
          <w:szCs w:val="24"/>
          <w:lang w:eastAsia="es-ES"/>
        </w:rPr>
        <w:t>apítulo I</w:t>
      </w:r>
      <w:r>
        <w:rPr>
          <w:rFonts w:ascii="Arial" w:eastAsia="Times New Roman" w:hAnsi="Arial" w:cs="Arial"/>
          <w:sz w:val="24"/>
          <w:szCs w:val="24"/>
          <w:lang w:eastAsia="es-ES"/>
        </w:rPr>
        <w:t>V</w:t>
      </w:r>
      <w:r w:rsidR="001F575C" w:rsidRPr="007E652E">
        <w:rPr>
          <w:rFonts w:ascii="Arial" w:eastAsia="Times New Roman" w:hAnsi="Arial" w:cs="Arial"/>
          <w:sz w:val="24"/>
          <w:szCs w:val="24"/>
          <w:lang w:eastAsia="es-ES"/>
        </w:rPr>
        <w:t xml:space="preserve"> del texto proyectado, se consigna un catálogo abierto de acciones de defensa que contiene la designación y configuración sustantiva de los más importantes remedios reconocidos al titular del secreto empresarial para hacer frente a su violación, con especial atención a la regulación de la indemnización de daños y perjuicios, que se extiende tanto a su contenido económico como a la facilitación de su cálculo y liquidación en línea con lo ya dispuesto en materia de infracción de patentes y por extensión de otros derechos de propiedad industrial</w:t>
      </w:r>
      <w:r w:rsidR="00F30C6E" w:rsidRPr="007E652E">
        <w:rPr>
          <w:rFonts w:ascii="Arial" w:eastAsia="Times New Roman" w:hAnsi="Arial" w:cs="Arial"/>
          <w:sz w:val="24"/>
          <w:szCs w:val="24"/>
          <w:lang w:eastAsia="es-ES"/>
        </w:rPr>
        <w:t xml:space="preserve">. </w:t>
      </w:r>
    </w:p>
    <w:p w:rsidR="001F575C" w:rsidRPr="007E652E" w:rsidRDefault="00353845"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lastRenderedPageBreak/>
        <w:t>Además</w:t>
      </w:r>
      <w:r w:rsidR="001F575C" w:rsidRPr="007E652E">
        <w:rPr>
          <w:rFonts w:ascii="Arial" w:eastAsia="Times New Roman" w:hAnsi="Arial" w:cs="Arial"/>
          <w:sz w:val="24"/>
          <w:szCs w:val="24"/>
          <w:lang w:eastAsia="es-ES"/>
        </w:rPr>
        <w:t>, la regulación material de las acciones de defensa concluye con una regla propia de prescripción</w:t>
      </w:r>
      <w:r w:rsidRPr="007E652E">
        <w:rPr>
          <w:rFonts w:ascii="Arial" w:eastAsia="Times New Roman" w:hAnsi="Arial" w:cs="Arial"/>
          <w:sz w:val="24"/>
          <w:szCs w:val="24"/>
          <w:lang w:eastAsia="es-ES"/>
        </w:rPr>
        <w:t xml:space="preserve"> de tres años</w:t>
      </w:r>
      <w:r w:rsidR="005B43CD">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Este plazo trienal ha sido fijado como intermedio entre el previsto en la Ley de Competencia Desleal (un año) y el contemplado en la legislación de patentes, marcas y diseños industriales (cinco años).</w:t>
      </w:r>
    </w:p>
    <w:p w:rsidR="001F575C" w:rsidRPr="007E652E" w:rsidRDefault="001F57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Por último, debe hacerse referencia a la regulación de los numerosos aspectos procesales recogidos en el </w:t>
      </w:r>
      <w:r w:rsidR="00B00F84">
        <w:rPr>
          <w:rFonts w:ascii="Arial" w:eastAsia="Times New Roman" w:hAnsi="Arial" w:cs="Arial"/>
          <w:sz w:val="24"/>
          <w:szCs w:val="24"/>
          <w:lang w:eastAsia="es-ES"/>
        </w:rPr>
        <w:t>C</w:t>
      </w:r>
      <w:r w:rsidRPr="007E652E">
        <w:rPr>
          <w:rFonts w:ascii="Arial" w:eastAsia="Times New Roman" w:hAnsi="Arial" w:cs="Arial"/>
          <w:sz w:val="24"/>
          <w:szCs w:val="24"/>
          <w:lang w:eastAsia="es-ES"/>
        </w:rPr>
        <w:t xml:space="preserve">apítulo V del </w:t>
      </w:r>
      <w:r w:rsidR="00D340FD" w:rsidRPr="007E652E">
        <w:rPr>
          <w:rFonts w:ascii="Arial" w:eastAsia="Times New Roman" w:hAnsi="Arial" w:cs="Arial"/>
          <w:sz w:val="24"/>
          <w:szCs w:val="24"/>
          <w:lang w:eastAsia="es-ES"/>
        </w:rPr>
        <w:t>a</w:t>
      </w:r>
      <w:r w:rsidRPr="007E652E">
        <w:rPr>
          <w:rFonts w:ascii="Arial" w:eastAsia="Times New Roman" w:hAnsi="Arial" w:cs="Arial"/>
          <w:sz w:val="24"/>
          <w:szCs w:val="24"/>
          <w:lang w:eastAsia="es-ES"/>
        </w:rPr>
        <w:t xml:space="preserve">nteproyecto, inspirados en </w:t>
      </w:r>
      <w:r w:rsidR="0067722E" w:rsidRPr="007E652E">
        <w:rPr>
          <w:rFonts w:ascii="Arial" w:eastAsia="Times New Roman" w:hAnsi="Arial" w:cs="Arial"/>
          <w:sz w:val="24"/>
          <w:szCs w:val="24"/>
          <w:lang w:eastAsia="es-ES"/>
        </w:rPr>
        <w:t xml:space="preserve">la propia </w:t>
      </w:r>
      <w:r w:rsidR="00341947" w:rsidRPr="007E652E">
        <w:rPr>
          <w:rFonts w:ascii="Arial" w:eastAsia="Times New Roman" w:hAnsi="Arial" w:cs="Arial"/>
          <w:sz w:val="24"/>
          <w:szCs w:val="24"/>
          <w:lang w:eastAsia="es-ES"/>
        </w:rPr>
        <w:t>d</w:t>
      </w:r>
      <w:r w:rsidR="0067722E" w:rsidRPr="007E652E">
        <w:rPr>
          <w:rFonts w:ascii="Arial" w:eastAsia="Times New Roman" w:hAnsi="Arial" w:cs="Arial"/>
          <w:sz w:val="24"/>
          <w:szCs w:val="24"/>
          <w:lang w:eastAsia="es-ES"/>
        </w:rPr>
        <w:t>irectiva,</w:t>
      </w:r>
      <w:r w:rsidRPr="007E652E">
        <w:rPr>
          <w:rFonts w:ascii="Arial" w:eastAsia="Times New Roman" w:hAnsi="Arial" w:cs="Arial"/>
          <w:sz w:val="24"/>
          <w:szCs w:val="24"/>
          <w:lang w:eastAsia="es-ES"/>
        </w:rPr>
        <w:t xml:space="preserve"> al objetivo de ofrecer a los titulares de secretos empresariales herramientas efectivas para la tutela judicial de su posición jurídica, a través de un sistema de acciones robusto y de un proceso plenamente eficaz y sencillo, respetuoso con las garantías básicas de justicia y equidad pero desprovisto de formalidades innecesarias y concebido para tramitarse en un plazo razonable, cuya eficacia se asegura en todo caso a través de un catálogo adecuado de medidas cautelares. Se aspira con ello, por otro lado, a dotar a nuestro ordenamiento de mecanismos que, además de permitir la reacción pertinente ante la realidad de conductas infractoras, tengan el suficiente potencial disuasorio como para impedir que lleguen a cometerse.</w:t>
      </w:r>
      <w:r w:rsidR="001E5D00" w:rsidRPr="001E5D00">
        <w:t xml:space="preserve"> </w:t>
      </w:r>
      <w:r w:rsidRPr="007E652E">
        <w:rPr>
          <w:rFonts w:ascii="Arial" w:eastAsia="Times New Roman" w:hAnsi="Arial" w:cs="Arial"/>
          <w:sz w:val="24"/>
          <w:szCs w:val="24"/>
          <w:lang w:eastAsia="es-ES"/>
        </w:rPr>
        <w:t xml:space="preserve">En particular, las novedades procesales más significativas se proyectan sobre tres aspectos diversos. De un lado, se incorporan reglas novedosas y rigurosas con el propósito de asegurar que se preserva el tratamiento confidencial para la información que se aporte o se genere en el proceso y que pueda constituir secreto empresarial, como forma de evitar con ello que el proceso judicial para la defensa del secreto se torne en ocasión para que quede indebidamente expuesto al conocimiento del contrario o de terceros. En el plano de las actividades </w:t>
      </w:r>
      <w:proofErr w:type="spellStart"/>
      <w:r w:rsidRPr="007E652E">
        <w:rPr>
          <w:rFonts w:ascii="Arial" w:eastAsia="Times New Roman" w:hAnsi="Arial" w:cs="Arial"/>
          <w:sz w:val="24"/>
          <w:szCs w:val="24"/>
          <w:lang w:eastAsia="es-ES"/>
        </w:rPr>
        <w:t>preprocesales</w:t>
      </w:r>
      <w:proofErr w:type="spellEnd"/>
      <w:r w:rsidRPr="007E652E">
        <w:rPr>
          <w:rFonts w:ascii="Arial" w:eastAsia="Times New Roman" w:hAnsi="Arial" w:cs="Arial"/>
          <w:sz w:val="24"/>
          <w:szCs w:val="24"/>
          <w:lang w:eastAsia="es-ES"/>
        </w:rPr>
        <w:t xml:space="preserve">, se ofrece un marco normativo para el desarrollo de diligencias de comprobación de hechos, de acceso a fuentes de prueba en poder de la contraparte o de terceros y, en su caso, de aseguramiento de pruebas, con las que se pretende reforzar la preparación del ejercicio judicial de las acciones que expresamente reconoce esta ley a los titulares de secretos </w:t>
      </w:r>
      <w:r w:rsidR="002E6B39"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Finalmente, se incorporan también ciertas reglas singulares en materia de tutela cautelar, destinadas a asegurar que su concesión va precedida de una adecuada ponderación de ciertas variables, que se consideran relevantes para determinar su proporcionalidad, así como </w:t>
      </w:r>
      <w:r w:rsidRPr="007E652E">
        <w:rPr>
          <w:rFonts w:ascii="Arial" w:eastAsia="Times New Roman" w:hAnsi="Arial" w:cs="Arial"/>
          <w:sz w:val="24"/>
          <w:szCs w:val="24"/>
          <w:lang w:eastAsia="es-ES"/>
        </w:rPr>
        <w:lastRenderedPageBreak/>
        <w:t>especialidades en relación con la caución sustitutoria, el alzamiento de las medidas en caso de que durante la pendencia del litigio se produzca una desaparición sobrevenida del secreto empresarial y para la tutela de la posición jurídica de los terceros que se puedan ver o se hayan visto ya afectados desfavorablemente por las medidas cautelares.</w:t>
      </w:r>
    </w:p>
    <w:p w:rsidR="001F575C" w:rsidRDefault="001F575C"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Tratándose de actos de competencia desleal, la competencia objetiva respecto de las acciones de defensa previstas en esta Ley corresponde a los Juzgados de lo Mercantil. No obstante, se reputa necesario establecer fuero</w:t>
      </w:r>
      <w:r w:rsidR="0067722E" w:rsidRPr="007E652E">
        <w:rPr>
          <w:rFonts w:ascii="Arial" w:eastAsia="Times New Roman" w:hAnsi="Arial" w:cs="Arial"/>
          <w:sz w:val="24"/>
          <w:szCs w:val="24"/>
          <w:lang w:eastAsia="es-ES"/>
        </w:rPr>
        <w:t>s</w:t>
      </w:r>
      <w:r w:rsidRPr="007E652E">
        <w:rPr>
          <w:rFonts w:ascii="Arial" w:eastAsia="Times New Roman" w:hAnsi="Arial" w:cs="Arial"/>
          <w:sz w:val="24"/>
          <w:szCs w:val="24"/>
          <w:lang w:eastAsia="es-ES"/>
        </w:rPr>
        <w:t xml:space="preserve"> específicos de competencia territorial, ajustados a las circunstancias que rodean la violación de los secretos empresariales y coherentes con la solución dada a los casos de responsabilidad extracontractual como el presente en la legislación de la Unión Europea.</w:t>
      </w:r>
    </w:p>
    <w:p w:rsidR="001E5D00" w:rsidRPr="007E652E" w:rsidRDefault="001E5D00" w:rsidP="006A508E">
      <w:pPr>
        <w:spacing w:before="240" w:after="240" w:line="360" w:lineRule="auto"/>
        <w:ind w:firstLine="708"/>
        <w:jc w:val="both"/>
        <w:rPr>
          <w:rFonts w:ascii="Arial" w:eastAsia="Times New Roman" w:hAnsi="Arial" w:cs="Arial"/>
          <w:sz w:val="24"/>
          <w:szCs w:val="24"/>
          <w:lang w:eastAsia="es-ES"/>
        </w:rPr>
      </w:pPr>
      <w:r w:rsidRPr="001E5D00">
        <w:rPr>
          <w:rFonts w:ascii="Arial" w:eastAsia="Times New Roman" w:hAnsi="Arial" w:cs="Arial"/>
          <w:sz w:val="24"/>
          <w:szCs w:val="24"/>
          <w:lang w:eastAsia="es-ES"/>
        </w:rPr>
        <w:t>En la parte final destaca la modificación del artículo 13 de la Ley 3/1991, de 10 de enero, de Competencia Desleal, para, manteniendo la atribución del carácter de competencia desleal a la violación de secretos empresariales, precisar que ésta se regirá por lo dispuesto en la presente norma, que actuará como ley especial frente a la previsiones de aquella disposición, susceptible, como ley general y en cuanto no se oponga a la especial, de ser utilizada para la integración de lagunas. De esta forma se perfila el encaje de la nueva ley dentro del marco de protección que nuestro ordenamiento jurídico proporciona frente a la violación de los secretos empresariales, sin perjuicio de las consecuencias que, para los casos más graves, resulta de la aplicación de los tipos delictivos contemplados en los artículos 278 y 279 del Código Penal.</w:t>
      </w:r>
    </w:p>
    <w:p w:rsidR="00FC48CA" w:rsidRPr="007E652E" w:rsidRDefault="00FC48C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Entre las principales decisiones adoptadas en la labor de transposición, procede reseñar las siguientes:</w:t>
      </w:r>
    </w:p>
    <w:p w:rsidR="00FC48CA" w:rsidRPr="007E652E" w:rsidRDefault="00FC48C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i) Se ha optado por simplificar, sin perder la imperativa fidelidad a la letra y finalidad del texto </w:t>
      </w:r>
      <w:r w:rsidR="00F756B0" w:rsidRPr="007E652E">
        <w:rPr>
          <w:rFonts w:ascii="Arial" w:eastAsia="Times New Roman" w:hAnsi="Arial" w:cs="Arial"/>
          <w:sz w:val="24"/>
          <w:szCs w:val="24"/>
          <w:lang w:eastAsia="es-ES"/>
        </w:rPr>
        <w:t>de la Unión Europea</w:t>
      </w:r>
      <w:r w:rsidRPr="007E652E">
        <w:rPr>
          <w:rFonts w:ascii="Arial" w:eastAsia="Times New Roman" w:hAnsi="Arial" w:cs="Arial"/>
          <w:sz w:val="24"/>
          <w:szCs w:val="24"/>
          <w:lang w:eastAsia="es-ES"/>
        </w:rPr>
        <w:t xml:space="preserve">, tanto la redacción como la estructura y contenido de la ley interna, con el propósito de asegurar su engarce más adecuado a la técnica legislativa más enraizada en nuestra legislación jurídico-mercantil y jurídico-procesal. Además, se ha preferido no reiterar previsiones de orden general que encuentran plena y acabada expresión en nuestro </w:t>
      </w:r>
      <w:r w:rsidRPr="007E652E">
        <w:rPr>
          <w:rFonts w:ascii="Arial" w:eastAsia="Times New Roman" w:hAnsi="Arial" w:cs="Arial"/>
          <w:sz w:val="24"/>
          <w:szCs w:val="24"/>
          <w:lang w:eastAsia="es-ES"/>
        </w:rPr>
        <w:lastRenderedPageBreak/>
        <w:t xml:space="preserve">ordenamiento vigente, como singularmente sucede en diversos aspectos relacionados con las cuestiones procesales que aborda la directiva. </w:t>
      </w:r>
    </w:p>
    <w:p w:rsidR="00FC48CA" w:rsidRPr="007E652E" w:rsidRDefault="00FC48C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En efecto, articulada la incorporación a nuestro ordenamiento de la </w:t>
      </w:r>
      <w:r w:rsidR="00B00F84">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irectiva </w:t>
      </w:r>
      <w:r w:rsidR="00341947" w:rsidRPr="007E652E">
        <w:rPr>
          <w:rFonts w:ascii="Arial" w:eastAsia="Times New Roman" w:hAnsi="Arial" w:cs="Arial"/>
          <w:sz w:val="24"/>
          <w:szCs w:val="24"/>
          <w:lang w:eastAsia="es-ES"/>
        </w:rPr>
        <w:t xml:space="preserve">(UE) </w:t>
      </w:r>
      <w:r w:rsidRPr="007E652E">
        <w:rPr>
          <w:rFonts w:ascii="Arial" w:eastAsia="Times New Roman" w:hAnsi="Arial" w:cs="Arial"/>
          <w:sz w:val="24"/>
          <w:szCs w:val="24"/>
          <w:lang w:eastAsia="es-ES"/>
        </w:rPr>
        <w:t xml:space="preserve">2016/943 a través de una ley especial, se ha procurado limitar al máximo las previsiones de índole procesal incorporadas al texto, de modo que son varias las remisiones a la Ley 1/2000, de 7 de enero, de Enjuiciamiento Civil que se completan con las particularidades que en aspectos concretos exige </w:t>
      </w:r>
      <w:r w:rsidR="002E6B39" w:rsidRPr="007E652E">
        <w:rPr>
          <w:rFonts w:ascii="Arial" w:eastAsia="Times New Roman" w:hAnsi="Arial" w:cs="Arial"/>
          <w:sz w:val="24"/>
          <w:szCs w:val="24"/>
          <w:lang w:eastAsia="es-ES"/>
        </w:rPr>
        <w:t xml:space="preserve">introducir </w:t>
      </w:r>
      <w:r w:rsidRPr="007E652E">
        <w:rPr>
          <w:rFonts w:ascii="Arial" w:eastAsia="Times New Roman" w:hAnsi="Arial" w:cs="Arial"/>
          <w:sz w:val="24"/>
          <w:szCs w:val="24"/>
          <w:lang w:eastAsia="es-ES"/>
        </w:rPr>
        <w:t xml:space="preserve">el Derecho de la Unión Europea. </w:t>
      </w:r>
      <w:r w:rsidR="003C73BF" w:rsidRPr="007E652E">
        <w:rPr>
          <w:rFonts w:ascii="Arial" w:eastAsia="Times New Roman" w:hAnsi="Arial" w:cs="Arial"/>
          <w:sz w:val="24"/>
          <w:szCs w:val="24"/>
          <w:lang w:eastAsia="es-ES"/>
        </w:rPr>
        <w:t>Al acotarse el anteproyecto a</w:t>
      </w:r>
      <w:r w:rsidRPr="007E652E">
        <w:rPr>
          <w:rFonts w:ascii="Arial" w:eastAsia="Times New Roman" w:hAnsi="Arial" w:cs="Arial"/>
          <w:sz w:val="24"/>
          <w:szCs w:val="24"/>
          <w:lang w:eastAsia="es-ES"/>
        </w:rPr>
        <w:t xml:space="preserve"> </w:t>
      </w:r>
      <w:r w:rsidR="003C73BF" w:rsidRPr="007E652E">
        <w:rPr>
          <w:rFonts w:ascii="Arial" w:eastAsia="Times New Roman" w:hAnsi="Arial" w:cs="Arial"/>
          <w:sz w:val="24"/>
          <w:szCs w:val="24"/>
          <w:lang w:eastAsia="es-ES"/>
        </w:rPr>
        <w:t>las reglas procesales específicas, se preserva en lo factible la ubicación de las normas procesales en su sede natural.</w:t>
      </w:r>
    </w:p>
    <w:p w:rsidR="00FC48CA" w:rsidRPr="007E652E" w:rsidRDefault="003C73BF" w:rsidP="00FC48CA">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ii) </w:t>
      </w:r>
      <w:r w:rsidR="00FC48CA" w:rsidRPr="007E652E">
        <w:rPr>
          <w:rFonts w:ascii="Arial" w:eastAsia="Times New Roman" w:hAnsi="Arial" w:cs="Arial"/>
          <w:sz w:val="24"/>
          <w:szCs w:val="24"/>
          <w:lang w:eastAsia="es-ES"/>
        </w:rPr>
        <w:t xml:space="preserve">Por otro lado, y en línea con la técnica de transposición por la que se ha optado y en la que prima la sencillez en la formulación de los enunciados legales, se ha </w:t>
      </w:r>
      <w:r w:rsidR="002E6B39" w:rsidRPr="007E652E">
        <w:rPr>
          <w:rFonts w:ascii="Arial" w:eastAsia="Times New Roman" w:hAnsi="Arial" w:cs="Arial"/>
          <w:sz w:val="24"/>
          <w:szCs w:val="24"/>
          <w:lang w:eastAsia="es-ES"/>
        </w:rPr>
        <w:t>preferido</w:t>
      </w:r>
      <w:r w:rsidR="00FC48CA" w:rsidRPr="007E652E">
        <w:rPr>
          <w:rFonts w:ascii="Arial" w:eastAsia="Times New Roman" w:hAnsi="Arial" w:cs="Arial"/>
          <w:sz w:val="24"/>
          <w:szCs w:val="24"/>
          <w:lang w:eastAsia="es-ES"/>
        </w:rPr>
        <w:t xml:space="preserve"> no detallar supuestos comprendidos claramente en algunas de las formulaciones generales que se incorporan a la norma. </w:t>
      </w:r>
      <w:r w:rsidRPr="007E652E">
        <w:rPr>
          <w:rFonts w:ascii="Arial" w:eastAsia="Times New Roman" w:hAnsi="Arial" w:cs="Arial"/>
          <w:sz w:val="24"/>
          <w:szCs w:val="24"/>
          <w:lang w:eastAsia="es-ES"/>
        </w:rPr>
        <w:t>A este razonamiento responde</w:t>
      </w:r>
      <w:r w:rsidR="00FC48CA" w:rsidRPr="007E652E">
        <w:rPr>
          <w:rFonts w:ascii="Arial" w:eastAsia="Times New Roman" w:hAnsi="Arial" w:cs="Arial"/>
          <w:sz w:val="24"/>
          <w:szCs w:val="24"/>
          <w:lang w:eastAsia="es-ES"/>
        </w:rPr>
        <w:t xml:space="preserve"> la decisión de no incluir en esta ley especial las previsiones del artículo 7 de la directiva. Y ello porque tanto las normas que rigen el proceso civil en nuestro ordenamiento con carácter general y singularmente la jurisprudencia elaborada con ocasión de su interpretación y aplicación, como las normas procesales especiales establecidas en esta ley ya salvaguardan suficientemente los objetivos de aquel precepto de la directiva.</w:t>
      </w:r>
      <w:r w:rsidRPr="007E652E">
        <w:rPr>
          <w:rFonts w:ascii="Arial" w:eastAsia="Times New Roman" w:hAnsi="Arial" w:cs="Arial"/>
          <w:sz w:val="24"/>
          <w:szCs w:val="24"/>
          <w:lang w:eastAsia="es-ES"/>
        </w:rPr>
        <w:t xml:space="preserve"> </w:t>
      </w:r>
      <w:r w:rsidR="00B54B42" w:rsidRPr="007E652E">
        <w:rPr>
          <w:rFonts w:ascii="Arial" w:eastAsia="Times New Roman" w:hAnsi="Arial" w:cs="Arial"/>
          <w:sz w:val="24"/>
          <w:szCs w:val="24"/>
          <w:lang w:eastAsia="es-ES"/>
        </w:rPr>
        <w:t>Con todo</w:t>
      </w:r>
      <w:r w:rsidRPr="007E652E">
        <w:rPr>
          <w:rFonts w:ascii="Arial" w:eastAsia="Times New Roman" w:hAnsi="Arial" w:cs="Arial"/>
          <w:sz w:val="24"/>
          <w:szCs w:val="24"/>
          <w:lang w:eastAsia="es-ES"/>
        </w:rPr>
        <w:t>, se invocan en la parte expositiva los principios enunciados en el artículo 7 citado, dejando expresa constancia -por remisión al artículo 247 de la Ley 1/2000, de 7 de enero, de Enjuiciamiento Civil- del carácter sancionable del ejercicio abusivo o con mala fe de las medidas previstas en la legislación en ciernes.</w:t>
      </w:r>
      <w:r w:rsidR="001E5D00">
        <w:rPr>
          <w:rFonts w:ascii="Arial" w:eastAsia="Times New Roman" w:hAnsi="Arial" w:cs="Arial"/>
          <w:sz w:val="24"/>
          <w:szCs w:val="24"/>
          <w:lang w:eastAsia="es-ES"/>
        </w:rPr>
        <w:t xml:space="preserve"> En este sentido</w:t>
      </w:r>
      <w:r w:rsidR="001E5D00" w:rsidRPr="001E5D00">
        <w:rPr>
          <w:rFonts w:ascii="Arial" w:eastAsia="Times New Roman" w:hAnsi="Arial" w:cs="Arial"/>
          <w:sz w:val="24"/>
          <w:szCs w:val="24"/>
          <w:lang w:eastAsia="es-ES"/>
        </w:rPr>
        <w:t xml:space="preserve">, </w:t>
      </w:r>
      <w:r w:rsidR="001E5D00">
        <w:rPr>
          <w:rFonts w:ascii="Arial" w:eastAsia="Times New Roman" w:hAnsi="Arial" w:cs="Arial"/>
          <w:sz w:val="24"/>
          <w:szCs w:val="24"/>
          <w:lang w:eastAsia="es-ES"/>
        </w:rPr>
        <w:t xml:space="preserve">como especialidad respecto al artículo citado </w:t>
      </w:r>
      <w:r w:rsidR="001E5D00" w:rsidRPr="001E5D00">
        <w:rPr>
          <w:rFonts w:ascii="Arial" w:eastAsia="Times New Roman" w:hAnsi="Arial" w:cs="Arial"/>
          <w:sz w:val="24"/>
          <w:szCs w:val="24"/>
          <w:lang w:eastAsia="es-ES"/>
        </w:rPr>
        <w:t>se agravan las medidas que los jueces y tribunales pueden adoptar con carácter general por incumplimiento de las reglas de la buena fe procesal, para impedir que, bajo la cobertura de la supuesta defensa de un secreto empresarial, se utilicen las acciones previstas en esta ley con la finalidad de ejercer una indebida presión sobre quien ha obtenido algún tipo de información cuya divulgación pudiera estar cubierta por alguna de las excepciones que contempla la directiva y aquí se transponen</w:t>
      </w:r>
    </w:p>
    <w:p w:rsidR="003C73BF" w:rsidRPr="007E652E" w:rsidRDefault="003C73BF" w:rsidP="003C73B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lastRenderedPageBreak/>
        <w:t xml:space="preserve">iii) Merecen una aclaración varias decisiones terminológicas. </w:t>
      </w:r>
    </w:p>
    <w:p w:rsidR="003C73BF" w:rsidRPr="007E652E" w:rsidRDefault="003C73BF" w:rsidP="003C73B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En primer lugar, la traducción de “</w:t>
      </w:r>
      <w:proofErr w:type="spellStart"/>
      <w:r w:rsidRPr="007E652E">
        <w:rPr>
          <w:rFonts w:ascii="Arial" w:eastAsia="Times New Roman" w:hAnsi="Arial" w:cs="Arial"/>
          <w:sz w:val="24"/>
          <w:szCs w:val="24"/>
          <w:lang w:eastAsia="es-ES"/>
        </w:rPr>
        <w:t>trade</w:t>
      </w:r>
      <w:proofErr w:type="spellEnd"/>
      <w:r w:rsidRPr="007E652E">
        <w:rPr>
          <w:rFonts w:ascii="Arial" w:eastAsia="Times New Roman" w:hAnsi="Arial" w:cs="Arial"/>
          <w:sz w:val="24"/>
          <w:szCs w:val="24"/>
          <w:lang w:eastAsia="es-ES"/>
        </w:rPr>
        <w:t xml:space="preserve"> </w:t>
      </w:r>
      <w:proofErr w:type="spellStart"/>
      <w:r w:rsidRPr="007E652E">
        <w:rPr>
          <w:rFonts w:ascii="Arial" w:eastAsia="Times New Roman" w:hAnsi="Arial" w:cs="Arial"/>
          <w:sz w:val="24"/>
          <w:szCs w:val="24"/>
          <w:lang w:eastAsia="es-ES"/>
        </w:rPr>
        <w:t>secrets</w:t>
      </w:r>
      <w:proofErr w:type="spellEnd"/>
      <w:r w:rsidRPr="007E652E">
        <w:rPr>
          <w:rFonts w:ascii="Arial" w:eastAsia="Times New Roman" w:hAnsi="Arial" w:cs="Arial"/>
          <w:sz w:val="24"/>
          <w:szCs w:val="24"/>
          <w:lang w:eastAsia="es-ES"/>
        </w:rPr>
        <w:t xml:space="preserve">” por “secretos comerciales” no parece adecuada pues el calificativo “comercial” deja fuera el “secreto industrial” (pese a que, en realidad, la directiva alcanza tanto a los secretos comerciales como a los industriales). Por ello, en el anteproyecto se ha optado por el más preciso término de “secretos empresariales”, denominación que comprende tanto el secreto comercial como el secreto industrial, y en este sentido incluye la innovación tecnológica como de naturaleza económica, financiera u organizativa. </w:t>
      </w:r>
    </w:p>
    <w:p w:rsidR="00C85D06" w:rsidRPr="007E652E" w:rsidRDefault="003C73BF"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Por su parte, el beneficiado por los derechos que confiere la directiva es, según la traducción al castellano publicada en el Diario Oficial, el “poseedor” del secreto en cuestión. Según el art. 2.2, se define como “cualquier persona física o jurídica que legítimamente ejerza el control de un secreto comercial”. No obstante, no parece acertada la elección de esta traducción pues, siguiendo los considerandos 2, 3 o 4 de la directiva, el concepto no parece referirse al “poseedor” en el sentido de nuestra tradición jurídica como sucede con el art. 432 </w:t>
      </w:r>
      <w:r w:rsidR="0054600B" w:rsidRPr="007E652E">
        <w:rPr>
          <w:rFonts w:ascii="Arial" w:eastAsia="Times New Roman" w:hAnsi="Arial" w:cs="Arial"/>
          <w:sz w:val="24"/>
          <w:szCs w:val="24"/>
          <w:lang w:eastAsia="es-ES"/>
        </w:rPr>
        <w:t>Código Civil</w:t>
      </w:r>
      <w:r w:rsidRPr="007E652E">
        <w:rPr>
          <w:rFonts w:ascii="Arial" w:eastAsia="Times New Roman" w:hAnsi="Arial" w:cs="Arial"/>
          <w:sz w:val="24"/>
          <w:szCs w:val="24"/>
          <w:lang w:eastAsia="es-ES"/>
        </w:rPr>
        <w:t xml:space="preserve"> cuando habla de «tenedor de la cosa o derecho para conservarlos o disfrutarlos, perteneciendo el dominio a otra persona» sino que el sujeto activo de los derechos concedidos en virtud de la directiva se encuentra en la órbita del “creador”, del “innovador”, de la “empresa”, y en este sentido, parece más apropiado referirse al mismo como “titular” del secreto comercial.</w:t>
      </w:r>
    </w:p>
    <w:p w:rsidR="00604EDC" w:rsidRPr="007E652E" w:rsidRDefault="00C57C9E"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iv) Se ha dedicado especial atención a la hora de mantener la coherencia del anteproyecto en relación con el tratamiento de los “terceros adquirentes de buena fe”. </w:t>
      </w:r>
    </w:p>
    <w:p w:rsidR="00FD79CB" w:rsidRPr="007E652E" w:rsidRDefault="00C57C9E"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Sobre esta cuestión, es importante tener en cuenta que la directiva solamente concibe como ilícita la adquisición de mala fe, esto es, la de quien </w:t>
      </w:r>
      <w:r w:rsidRPr="007E652E">
        <w:rPr>
          <w:rFonts w:ascii="Arial" w:eastAsia="Times New Roman" w:hAnsi="Arial" w:cs="Arial"/>
          <w:i/>
          <w:sz w:val="24"/>
          <w:szCs w:val="24"/>
          <w:lang w:eastAsia="es-ES"/>
        </w:rPr>
        <w:t>“en el momento de la obtención, utilización o revelación, supiera, o debiera haber sabido en las circunstancias del caso, que el secreto comercial se había obtenido directa o indirectamente de otra persona que lo utilizaba o revelaba de forma ilícita”</w:t>
      </w:r>
      <w:r w:rsidRPr="007E652E">
        <w:rPr>
          <w:rFonts w:ascii="Arial" w:eastAsia="Times New Roman" w:hAnsi="Arial" w:cs="Arial"/>
          <w:sz w:val="24"/>
          <w:szCs w:val="24"/>
          <w:lang w:eastAsia="es-ES"/>
        </w:rPr>
        <w:t xml:space="preserve"> (artículo 4.4). </w:t>
      </w:r>
    </w:p>
    <w:p w:rsidR="00C57C9E" w:rsidRPr="007E652E" w:rsidRDefault="00C57C9E"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lastRenderedPageBreak/>
        <w:t>Ahora bien, el artículo 13.3 parte de la premisa de que las acciones de protección de los secretos empresariales puede</w:t>
      </w:r>
      <w:r w:rsidR="00604EDC" w:rsidRPr="007E652E">
        <w:rPr>
          <w:rFonts w:ascii="Arial" w:eastAsia="Times New Roman" w:hAnsi="Arial" w:cs="Arial"/>
          <w:sz w:val="24"/>
          <w:szCs w:val="24"/>
          <w:lang w:eastAsia="es-ES"/>
        </w:rPr>
        <w:t>n</w:t>
      </w:r>
      <w:r w:rsidRPr="007E652E">
        <w:rPr>
          <w:rFonts w:ascii="Arial" w:eastAsia="Times New Roman" w:hAnsi="Arial" w:cs="Arial"/>
          <w:sz w:val="24"/>
          <w:szCs w:val="24"/>
          <w:lang w:eastAsia="es-ES"/>
        </w:rPr>
        <w:t xml:space="preserve"> dirigirse</w:t>
      </w:r>
      <w:r w:rsidR="00604EDC" w:rsidRPr="007E652E">
        <w:rPr>
          <w:rFonts w:ascii="Arial" w:eastAsia="Times New Roman" w:hAnsi="Arial" w:cs="Arial"/>
          <w:sz w:val="24"/>
          <w:szCs w:val="24"/>
          <w:lang w:eastAsia="es-ES"/>
        </w:rPr>
        <w:t xml:space="preserve"> también</w:t>
      </w:r>
      <w:r w:rsidRPr="007E652E">
        <w:rPr>
          <w:rFonts w:ascii="Arial" w:eastAsia="Times New Roman" w:hAnsi="Arial" w:cs="Arial"/>
          <w:sz w:val="24"/>
          <w:szCs w:val="24"/>
          <w:lang w:eastAsia="es-ES"/>
        </w:rPr>
        <w:t xml:space="preserve"> frente al adquirente de buena fe (la persona que, en el momento de la utilización o de la revelación, no sabía o, en las circunstancias del caso, no debía haber sabido que el secreto comercial se había obtenido de una persona que lo utilizaba o revelaba ilícitamente</w:t>
      </w:r>
      <w:r w:rsidR="00FD79CB" w:rsidRPr="007E652E">
        <w:rPr>
          <w:rFonts w:ascii="Arial" w:eastAsia="Times New Roman" w:hAnsi="Arial" w:cs="Arial"/>
          <w:sz w:val="24"/>
          <w:szCs w:val="24"/>
          <w:lang w:eastAsia="es-ES"/>
        </w:rPr>
        <w:t>), por lo que establece reglas especiales para este supuesto, particularmente la posibilidad de que dicho adquirente de buena fe pueda solicitar la sustitución de las medidas acordadas por una indemnización pecuniaria, que además tendría como límite el coste en que habría incurrido de haber solicitado una licencia del titular. Este régimen se explica en el considerando vigésimo noveno en los siguientes términos:</w:t>
      </w:r>
    </w:p>
    <w:p w:rsidR="00FD79CB" w:rsidRPr="007E652E" w:rsidRDefault="00FD79CB"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“Puede darse el caso de que una persona haya obtenido inicialmente un secreto comercial de buena fe, para constatar más tarde, en particular a raíz de una notificación del poseedor original del secreto comercial, que el conocimiento que tiene del secreto comercial en cuestión proviene de fuentes que lo utilizan o revelan de forma ilícita. A fin de evitar que, en tales circunstancias, las medidas correctivas o los requerimientos previstos causen un perjuicio desproporcionado a dicha persona, los Estados miembros deben prever la posibilidad, en determinados casos, de que se conceda una indemnización pecuniaria a la parte perjudicada como medida alternativa. Sin embargo, dicha indemnización no debe superar el importe de los cánones o derechos que se habrían tenido que pagar si esa persona hubiera obtenido autorización para utilizar el secreto comercial en cuestión durante el período de tiempo en el que el poseedor original hubiera podido impedir su utilización. (…)”</w:t>
      </w:r>
    </w:p>
    <w:p w:rsidR="00604EDC" w:rsidRPr="007E652E" w:rsidRDefault="00604EDC"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Para cohonestar mejor ambas ideas, se han incluido precisiones en dos preceptos</w:t>
      </w:r>
      <w:r w:rsidR="00D87021" w:rsidRPr="007E652E">
        <w:rPr>
          <w:rFonts w:ascii="Arial" w:eastAsia="Times New Roman" w:hAnsi="Arial" w:cs="Arial"/>
          <w:sz w:val="24"/>
          <w:szCs w:val="24"/>
          <w:lang w:eastAsia="es-ES"/>
        </w:rPr>
        <w:t xml:space="preserve"> del anteproyecto</w:t>
      </w:r>
      <w:r w:rsidRPr="007E652E">
        <w:rPr>
          <w:rFonts w:ascii="Arial" w:eastAsia="Times New Roman" w:hAnsi="Arial" w:cs="Arial"/>
          <w:sz w:val="24"/>
          <w:szCs w:val="24"/>
          <w:lang w:eastAsia="es-ES"/>
        </w:rPr>
        <w:t>:</w:t>
      </w:r>
    </w:p>
    <w:p w:rsidR="00604EDC" w:rsidRPr="007E652E" w:rsidRDefault="00604EDC"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 </w:t>
      </w:r>
      <w:r w:rsidR="00D87021" w:rsidRPr="007E652E">
        <w:rPr>
          <w:rFonts w:ascii="Arial" w:eastAsia="Times New Roman" w:hAnsi="Arial" w:cs="Arial"/>
          <w:sz w:val="24"/>
          <w:szCs w:val="24"/>
          <w:lang w:eastAsia="es-ES"/>
        </w:rPr>
        <w:t xml:space="preserve">En el artículo 1.2 se deja claro que protección otorgada por la norma se extiende, en los términos que en ella se precisan, a los actos de obtención, utilización y revelación que sean ilícitos “o que tengan un origen ilícito”. Esto es, sin alterar el régimen del artículo 4 de la directiva sobre los actos de violación de los secretos empresariales (del que es transposición el artículo 3 del anteproyecto y que, en lo que atañe al adquirente, solamente incluye al de </w:t>
      </w:r>
      <w:r w:rsidR="00D87021" w:rsidRPr="007E652E">
        <w:rPr>
          <w:rFonts w:ascii="Arial" w:eastAsia="Times New Roman" w:hAnsi="Arial" w:cs="Arial"/>
          <w:sz w:val="24"/>
          <w:szCs w:val="24"/>
          <w:lang w:eastAsia="es-ES"/>
        </w:rPr>
        <w:lastRenderedPageBreak/>
        <w:t>mala fe), se prevé que la protección alcance a actos de origen ilícito, aunque este sea desconocido por el adquirente.</w:t>
      </w:r>
    </w:p>
    <w:p w:rsidR="00D87021" w:rsidRDefault="00D87021" w:rsidP="00AD299F">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 Lo anterior se hace todavía más patente en el artículo </w:t>
      </w:r>
      <w:r w:rsidR="006E685E">
        <w:rPr>
          <w:rFonts w:ascii="Arial" w:eastAsia="Times New Roman" w:hAnsi="Arial" w:cs="Arial"/>
          <w:sz w:val="24"/>
          <w:szCs w:val="24"/>
          <w:lang w:eastAsia="es-ES"/>
        </w:rPr>
        <w:t>8</w:t>
      </w:r>
      <w:r w:rsidRPr="007E652E">
        <w:rPr>
          <w:rFonts w:ascii="Arial" w:eastAsia="Times New Roman" w:hAnsi="Arial" w:cs="Arial"/>
          <w:sz w:val="24"/>
          <w:szCs w:val="24"/>
          <w:lang w:eastAsia="es-ES"/>
        </w:rPr>
        <w:t xml:space="preserve"> del anteproyecto, que afirma con rotundidad que las acciones pueden dirigirse frente al tercero de buena fe, si bien, para tal supuesto, rigen las reglas especiales del artículo </w:t>
      </w:r>
      <w:r w:rsidR="006E685E">
        <w:rPr>
          <w:rFonts w:ascii="Arial" w:eastAsia="Times New Roman" w:hAnsi="Arial" w:cs="Arial"/>
          <w:sz w:val="24"/>
          <w:szCs w:val="24"/>
          <w:lang w:eastAsia="es-ES"/>
        </w:rPr>
        <w:t>9</w:t>
      </w:r>
      <w:r w:rsidRPr="007E652E">
        <w:rPr>
          <w:rFonts w:ascii="Arial" w:eastAsia="Times New Roman" w:hAnsi="Arial" w:cs="Arial"/>
          <w:sz w:val="24"/>
          <w:szCs w:val="24"/>
          <w:lang w:eastAsia="es-ES"/>
        </w:rPr>
        <w:t>.7 (a través del que se incorpora a nuestro ordenamiento en artículo 13.3 de la directiva).</w:t>
      </w:r>
    </w:p>
    <w:p w:rsidR="00B00F84" w:rsidRDefault="00B00F84" w:rsidP="00AD299F">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v) A raíz del trámite de información pública, se ha optado por introducir el Capítulo III, dirigido a establecer una</w:t>
      </w:r>
      <w:r w:rsidR="00BC7E21">
        <w:rPr>
          <w:rFonts w:ascii="Arial" w:eastAsia="Times New Roman" w:hAnsi="Arial" w:cs="Arial"/>
          <w:sz w:val="24"/>
          <w:szCs w:val="24"/>
          <w:lang w:eastAsia="es-ES"/>
        </w:rPr>
        <w:t>s</w:t>
      </w:r>
      <w:r>
        <w:rPr>
          <w:rFonts w:ascii="Arial" w:eastAsia="Times New Roman" w:hAnsi="Arial" w:cs="Arial"/>
          <w:sz w:val="24"/>
          <w:szCs w:val="24"/>
          <w:lang w:eastAsia="es-ES"/>
        </w:rPr>
        <w:t xml:space="preserve"> reglas dispositivas que establezcan pautas sobre la potencial titularidad y transmisibilidad de los secretos empresariales. Estas reglas, que están inspiradas en los artículos 80, 82, 83 y 85 de la Ley de Patentes, rigen exclusivamente en defecto de pacto, por lo que no merman la autonomía de la voluntad de las partes, sino que están llamadas a proporcionar seguridad jurídica para el supuesto de que dicha voluntad no haya sido expresada. Estas previsiones están encaminadas a los siguientes objetivos:</w:t>
      </w:r>
    </w:p>
    <w:p w:rsidR="00B00F84" w:rsidRDefault="00B00F84" w:rsidP="00AD299F">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Constatar la posible cotitularidad de los secretos empresariales, que pertenecen</w:t>
      </w:r>
      <w:r w:rsidR="007D4050">
        <w:rPr>
          <w:rFonts w:ascii="Arial" w:eastAsia="Times New Roman" w:hAnsi="Arial" w:cs="Arial"/>
          <w:sz w:val="24"/>
          <w:szCs w:val="24"/>
          <w:lang w:eastAsia="es-ES"/>
        </w:rPr>
        <w:t xml:space="preserve"> en tal caso</w:t>
      </w:r>
      <w:r>
        <w:rPr>
          <w:rFonts w:ascii="Arial" w:eastAsia="Times New Roman" w:hAnsi="Arial" w:cs="Arial"/>
          <w:sz w:val="24"/>
          <w:szCs w:val="24"/>
          <w:lang w:eastAsia="es-ES"/>
        </w:rPr>
        <w:t xml:space="preserve"> pro indiviso a los partícipes. Se precisan a continuación las facultades que puede ejercer por sí solo cada uno de ellos. </w:t>
      </w:r>
      <w:r w:rsidR="007D4050">
        <w:rPr>
          <w:rFonts w:ascii="Arial" w:eastAsia="Times New Roman" w:hAnsi="Arial" w:cs="Arial"/>
          <w:sz w:val="24"/>
          <w:szCs w:val="24"/>
          <w:lang w:eastAsia="es-ES"/>
        </w:rPr>
        <w:t>Como peculiaridad frente al régimen de patentes, se prevé que, en defecto de pacto, la transmisión solamente sea posible previo acuerdo de todos los partícipes, pues una vez revelado a un tercero el secreto a cambio de un precio la situación de los demás partícipes queda afectada por la subrogación personal. Ello es particularmente relevante cuando el secreto pertenezca a varias pequeñas empresas, dado que, si una de ellas vende el secreto empresarial a una de mayor tamaño, es posible que el ejercicio de unos hipotéticos derechos de tanteo o retracto suponga un coste económico que los restantes cotitulares no puedan asumir, con un importante impacto en ellos que el adquirente tenga acceso al conocimiento o información secretos.</w:t>
      </w:r>
    </w:p>
    <w:p w:rsidR="007D4050" w:rsidRDefault="007D4050" w:rsidP="00AD299F">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Constatar la transmisibilidad de los secretos empresariales. Esta constatación no es óbice para la observancia</w:t>
      </w:r>
      <w:r w:rsidRPr="007D4050">
        <w:rPr>
          <w:rFonts w:ascii="Arial" w:eastAsia="Times New Roman" w:hAnsi="Arial" w:cs="Arial"/>
          <w:sz w:val="24"/>
          <w:szCs w:val="24"/>
          <w:lang w:eastAsia="es-ES"/>
        </w:rPr>
        <w:t xml:space="preserve">, cuando resulten aplicables por la </w:t>
      </w:r>
      <w:r w:rsidRPr="007D4050">
        <w:rPr>
          <w:rFonts w:ascii="Arial" w:eastAsia="Times New Roman" w:hAnsi="Arial" w:cs="Arial"/>
          <w:sz w:val="24"/>
          <w:szCs w:val="24"/>
          <w:lang w:eastAsia="es-ES"/>
        </w:rPr>
        <w:lastRenderedPageBreak/>
        <w:t>naturaleza del secreto empresarial,</w:t>
      </w:r>
      <w:r>
        <w:rPr>
          <w:rFonts w:ascii="Arial" w:eastAsia="Times New Roman" w:hAnsi="Arial" w:cs="Arial"/>
          <w:sz w:val="24"/>
          <w:szCs w:val="24"/>
          <w:lang w:eastAsia="es-ES"/>
        </w:rPr>
        <w:t xml:space="preserve"> de</w:t>
      </w:r>
      <w:r w:rsidRPr="007D4050">
        <w:rPr>
          <w:rFonts w:ascii="Arial" w:eastAsia="Times New Roman" w:hAnsi="Arial" w:cs="Arial"/>
          <w:sz w:val="24"/>
          <w:szCs w:val="24"/>
          <w:lang w:eastAsia="es-ES"/>
        </w:rPr>
        <w:t xml:space="preserve"> los reglamentos de la Unión Europea relativos a la aplicación del apartado 3 del artículo 101 del Tratado de Funcionamiento de la Unión Europea a determinadas categorías de acuerdos de transferencia de tecnología</w:t>
      </w:r>
      <w:r>
        <w:rPr>
          <w:rFonts w:ascii="Arial" w:eastAsia="Times New Roman" w:hAnsi="Arial" w:cs="Arial"/>
          <w:sz w:val="24"/>
          <w:szCs w:val="24"/>
          <w:lang w:eastAsia="es-ES"/>
        </w:rPr>
        <w:t>.</w:t>
      </w:r>
    </w:p>
    <w:p w:rsidR="007D4050" w:rsidRDefault="007D4050" w:rsidP="00AD299F">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Establecer las categorías de licencias, estableciendo, como regla supletoria, el carácter no exclusivo.</w:t>
      </w:r>
    </w:p>
    <w:p w:rsidR="007D4050" w:rsidRPr="007E652E" w:rsidRDefault="007D4050" w:rsidP="00AD299F">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Reconocer la responsabilidad del transmitente y el licenciatario</w:t>
      </w:r>
      <w:r w:rsidRPr="007D4050">
        <w:t xml:space="preserve"> </w:t>
      </w:r>
      <w:r w:rsidRPr="007D4050">
        <w:rPr>
          <w:rFonts w:ascii="Arial" w:eastAsia="Times New Roman" w:hAnsi="Arial" w:cs="Arial"/>
          <w:sz w:val="24"/>
          <w:szCs w:val="24"/>
          <w:lang w:eastAsia="es-ES"/>
        </w:rPr>
        <w:t>si posteriormente se declarara que carecía de la titularidad o de las facultades necesarias para la realización del negocio de que se trate</w:t>
      </w:r>
      <w:r>
        <w:rPr>
          <w:rFonts w:ascii="Arial" w:eastAsia="Times New Roman" w:hAnsi="Arial" w:cs="Arial"/>
          <w:sz w:val="24"/>
          <w:szCs w:val="24"/>
          <w:lang w:eastAsia="es-ES"/>
        </w:rPr>
        <w:t>.</w:t>
      </w:r>
    </w:p>
    <w:p w:rsidR="001418FE" w:rsidRPr="007E652E" w:rsidRDefault="001418FE" w:rsidP="00C85D06">
      <w:pPr>
        <w:pStyle w:val="Ttulo2"/>
        <w:jc w:val="center"/>
        <w:rPr>
          <w:i w:val="0"/>
          <w:lang w:val="es-ES_tradnl"/>
        </w:rPr>
      </w:pPr>
      <w:bookmarkStart w:id="13" w:name="_Toc511982521"/>
      <w:r w:rsidRPr="007E652E">
        <w:rPr>
          <w:i w:val="0"/>
          <w:lang w:val="es-ES_tradnl"/>
        </w:rPr>
        <w:t xml:space="preserve">2.2 </w:t>
      </w:r>
      <w:r w:rsidR="00E14AFF" w:rsidRPr="007E652E">
        <w:rPr>
          <w:i w:val="0"/>
          <w:lang w:val="es-ES_tradnl"/>
        </w:rPr>
        <w:t>Entrada en vigor y v</w:t>
      </w:r>
      <w:r w:rsidRPr="007E652E">
        <w:rPr>
          <w:i w:val="0"/>
          <w:lang w:val="es-ES_tradnl"/>
        </w:rPr>
        <w:t>igencia de la norma</w:t>
      </w:r>
      <w:bookmarkEnd w:id="13"/>
    </w:p>
    <w:p w:rsidR="00CE5D9C" w:rsidRPr="007E652E" w:rsidRDefault="001418FE" w:rsidP="001418FE">
      <w:pPr>
        <w:spacing w:before="240" w:after="240" w:line="360" w:lineRule="auto"/>
        <w:jc w:val="both"/>
        <w:rPr>
          <w:rFonts w:ascii="Arial" w:hAnsi="Arial" w:cs="Arial"/>
          <w:sz w:val="24"/>
          <w:szCs w:val="24"/>
        </w:rPr>
      </w:pPr>
      <w:r w:rsidRPr="007E652E">
        <w:rPr>
          <w:rFonts w:ascii="Arial" w:eastAsia="Times New Roman" w:hAnsi="Arial" w:cs="Arial"/>
          <w:b/>
          <w:sz w:val="24"/>
          <w:szCs w:val="24"/>
          <w:lang w:val="es-ES_tradnl" w:eastAsia="es-ES"/>
        </w:rPr>
        <w:tab/>
      </w:r>
      <w:r w:rsidRPr="007E652E">
        <w:rPr>
          <w:rFonts w:ascii="Arial" w:eastAsia="Times New Roman" w:hAnsi="Arial" w:cs="Arial"/>
          <w:sz w:val="24"/>
          <w:szCs w:val="24"/>
          <w:lang w:val="es-ES_tradnl" w:eastAsia="es-ES"/>
        </w:rPr>
        <w:t xml:space="preserve">La disposición final cuarta del anteproyecto señala que la ley </w:t>
      </w:r>
      <w:r w:rsidRPr="007E652E">
        <w:rPr>
          <w:rFonts w:ascii="Arial" w:hAnsi="Arial" w:cs="Arial"/>
          <w:sz w:val="24"/>
          <w:szCs w:val="24"/>
        </w:rPr>
        <w:t>entrará en vigor a los veinte días de su publicación en el «Boletín Oficial del Estado»</w:t>
      </w:r>
      <w:r w:rsidR="00014A37" w:rsidRPr="007E652E">
        <w:rPr>
          <w:rFonts w:ascii="Arial" w:hAnsi="Arial" w:cs="Arial"/>
          <w:sz w:val="24"/>
          <w:szCs w:val="24"/>
        </w:rPr>
        <w:t>.</w:t>
      </w:r>
      <w:r w:rsidR="00CE5D9C" w:rsidRPr="007E652E">
        <w:rPr>
          <w:rFonts w:ascii="Arial" w:hAnsi="Arial" w:cs="Arial"/>
          <w:sz w:val="24"/>
          <w:szCs w:val="24"/>
        </w:rPr>
        <w:t xml:space="preserve"> </w:t>
      </w:r>
      <w:r w:rsidR="00014A37" w:rsidRPr="007E652E">
        <w:rPr>
          <w:rFonts w:ascii="Arial" w:hAnsi="Arial" w:cs="Arial"/>
          <w:sz w:val="24"/>
          <w:szCs w:val="24"/>
        </w:rPr>
        <w:t>En cumplimiento de</w:t>
      </w:r>
      <w:r w:rsidR="00CE5D9C" w:rsidRPr="007E652E">
        <w:rPr>
          <w:rFonts w:ascii="Arial" w:hAnsi="Arial" w:cs="Arial"/>
          <w:sz w:val="24"/>
          <w:szCs w:val="24"/>
        </w:rPr>
        <w:t xml:space="preserve"> lo dispuesto en el segundo párrafo del artículo 23 de la Ley 50/1997, de 27 de noviembre, </w:t>
      </w:r>
      <w:r w:rsidR="00014A37" w:rsidRPr="007E652E">
        <w:rPr>
          <w:rFonts w:ascii="Arial" w:hAnsi="Arial" w:cs="Arial"/>
          <w:sz w:val="24"/>
          <w:szCs w:val="24"/>
        </w:rPr>
        <w:t xml:space="preserve">se hace constar que </w:t>
      </w:r>
      <w:r w:rsidR="00CE5D9C" w:rsidRPr="007E652E">
        <w:rPr>
          <w:rFonts w:ascii="Arial" w:hAnsi="Arial" w:cs="Arial"/>
          <w:sz w:val="24"/>
          <w:szCs w:val="24"/>
        </w:rPr>
        <w:t>el objetivo</w:t>
      </w:r>
      <w:r w:rsidR="00014A37" w:rsidRPr="007E652E">
        <w:rPr>
          <w:rFonts w:ascii="Arial" w:hAnsi="Arial" w:cs="Arial"/>
          <w:sz w:val="24"/>
          <w:szCs w:val="24"/>
        </w:rPr>
        <w:t xml:space="preserve"> de la vigencia prevista, tras el periodo de </w:t>
      </w:r>
      <w:proofErr w:type="spellStart"/>
      <w:r w:rsidR="00014A37" w:rsidRPr="007E652E">
        <w:rPr>
          <w:rFonts w:ascii="Arial" w:hAnsi="Arial" w:cs="Arial"/>
          <w:sz w:val="24"/>
          <w:szCs w:val="24"/>
        </w:rPr>
        <w:t>vacatio</w:t>
      </w:r>
      <w:proofErr w:type="spellEnd"/>
      <w:r w:rsidR="00014A37" w:rsidRPr="007E652E">
        <w:rPr>
          <w:rFonts w:ascii="Arial" w:hAnsi="Arial" w:cs="Arial"/>
          <w:sz w:val="24"/>
          <w:szCs w:val="24"/>
        </w:rPr>
        <w:t xml:space="preserve"> </w:t>
      </w:r>
      <w:proofErr w:type="spellStart"/>
      <w:r w:rsidR="00014A37" w:rsidRPr="007E652E">
        <w:rPr>
          <w:rFonts w:ascii="Arial" w:hAnsi="Arial" w:cs="Arial"/>
          <w:sz w:val="24"/>
          <w:szCs w:val="24"/>
        </w:rPr>
        <w:t>legis</w:t>
      </w:r>
      <w:proofErr w:type="spellEnd"/>
      <w:r w:rsidR="00014A37" w:rsidRPr="007E652E">
        <w:rPr>
          <w:rFonts w:ascii="Arial" w:hAnsi="Arial" w:cs="Arial"/>
          <w:sz w:val="24"/>
          <w:szCs w:val="24"/>
        </w:rPr>
        <w:t xml:space="preserve"> ordinario,</w:t>
      </w:r>
      <w:r w:rsidR="00CE5D9C" w:rsidRPr="007E652E">
        <w:rPr>
          <w:rFonts w:ascii="Arial" w:hAnsi="Arial" w:cs="Arial"/>
          <w:sz w:val="24"/>
          <w:szCs w:val="24"/>
        </w:rPr>
        <w:t xml:space="preserve"> es dar cumplimiento al plazo de transposición de la </w:t>
      </w:r>
      <w:r w:rsidR="00B00F84">
        <w:rPr>
          <w:rFonts w:ascii="Arial" w:hAnsi="Arial" w:cs="Arial"/>
          <w:sz w:val="24"/>
          <w:szCs w:val="24"/>
        </w:rPr>
        <w:t>D</w:t>
      </w:r>
      <w:r w:rsidR="00CE5D9C" w:rsidRPr="007E652E">
        <w:rPr>
          <w:rFonts w:ascii="Arial" w:eastAsia="Times New Roman" w:hAnsi="Arial" w:cs="Arial"/>
          <w:sz w:val="24"/>
          <w:szCs w:val="24"/>
        </w:rPr>
        <w:t>irectiva (UE) 2016/943</w:t>
      </w:r>
      <w:r w:rsidR="002E6B39" w:rsidRPr="007E652E">
        <w:rPr>
          <w:rFonts w:ascii="Arial" w:eastAsia="Times New Roman" w:hAnsi="Arial" w:cs="Arial"/>
          <w:sz w:val="24"/>
          <w:szCs w:val="24"/>
        </w:rPr>
        <w:t>,</w:t>
      </w:r>
      <w:r w:rsidR="00CE5D9C" w:rsidRPr="007E652E">
        <w:rPr>
          <w:rFonts w:ascii="Arial" w:hAnsi="Arial" w:cs="Arial"/>
          <w:sz w:val="24"/>
          <w:szCs w:val="24"/>
        </w:rPr>
        <w:t xml:space="preserve"> que finaliza el </w:t>
      </w:r>
      <w:r w:rsidR="00953B86" w:rsidRPr="007E652E">
        <w:rPr>
          <w:rFonts w:ascii="Arial" w:hAnsi="Arial" w:cs="Arial"/>
          <w:sz w:val="24"/>
          <w:szCs w:val="24"/>
        </w:rPr>
        <w:t>9</w:t>
      </w:r>
      <w:r w:rsidR="00CE5D9C" w:rsidRPr="007E652E">
        <w:rPr>
          <w:rFonts w:ascii="Arial" w:hAnsi="Arial" w:cs="Arial"/>
          <w:sz w:val="24"/>
          <w:szCs w:val="24"/>
        </w:rPr>
        <w:t xml:space="preserve"> de junio de 2018.</w:t>
      </w:r>
    </w:p>
    <w:p w:rsidR="00561B67" w:rsidRPr="007E652E" w:rsidRDefault="00561B67" w:rsidP="001418FE">
      <w:pPr>
        <w:spacing w:before="240" w:after="240" w:line="360" w:lineRule="auto"/>
        <w:jc w:val="both"/>
        <w:rPr>
          <w:rFonts w:ascii="Arial" w:hAnsi="Arial" w:cs="Arial"/>
          <w:sz w:val="24"/>
          <w:szCs w:val="24"/>
        </w:rPr>
      </w:pPr>
      <w:r w:rsidRPr="007E652E">
        <w:rPr>
          <w:rFonts w:ascii="Arial" w:hAnsi="Arial" w:cs="Arial"/>
          <w:sz w:val="24"/>
          <w:szCs w:val="24"/>
        </w:rPr>
        <w:tab/>
        <w:t xml:space="preserve">La vigencia </w:t>
      </w:r>
      <w:r w:rsidR="00F11D45" w:rsidRPr="007E652E">
        <w:rPr>
          <w:rFonts w:ascii="Arial" w:hAnsi="Arial" w:cs="Arial"/>
          <w:sz w:val="24"/>
          <w:szCs w:val="24"/>
        </w:rPr>
        <w:t xml:space="preserve">de la norma proyectada </w:t>
      </w:r>
      <w:r w:rsidRPr="007E652E">
        <w:rPr>
          <w:rFonts w:ascii="Arial" w:hAnsi="Arial" w:cs="Arial"/>
          <w:sz w:val="24"/>
          <w:szCs w:val="24"/>
        </w:rPr>
        <w:t>es indefinida.</w:t>
      </w:r>
    </w:p>
    <w:p w:rsidR="00255FC4" w:rsidRPr="007E652E" w:rsidRDefault="00255FC4" w:rsidP="00DB4BE4">
      <w:pPr>
        <w:pStyle w:val="Ttulo2"/>
        <w:jc w:val="center"/>
        <w:rPr>
          <w:i w:val="0"/>
          <w:lang w:val="es-ES_tradnl"/>
        </w:rPr>
      </w:pPr>
      <w:bookmarkStart w:id="14" w:name="_Toc511982522"/>
      <w:r w:rsidRPr="007E652E">
        <w:rPr>
          <w:i w:val="0"/>
          <w:lang w:val="es-ES_tradnl"/>
        </w:rPr>
        <w:t>2.3 Rango normativo</w:t>
      </w:r>
      <w:bookmarkEnd w:id="14"/>
    </w:p>
    <w:p w:rsidR="00255FC4" w:rsidRPr="007E652E" w:rsidRDefault="00255FC4" w:rsidP="00255FC4">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xml:space="preserve">La </w:t>
      </w:r>
      <w:r w:rsidR="00B00F84">
        <w:rPr>
          <w:rFonts w:ascii="Arial" w:eastAsia="Times New Roman" w:hAnsi="Arial" w:cs="Arial"/>
          <w:sz w:val="24"/>
          <w:szCs w:val="24"/>
        </w:rPr>
        <w:t>D</w:t>
      </w:r>
      <w:r w:rsidR="00C85313" w:rsidRPr="007E652E">
        <w:rPr>
          <w:rFonts w:ascii="Arial" w:eastAsia="Times New Roman" w:hAnsi="Arial" w:cs="Arial"/>
          <w:sz w:val="24"/>
          <w:szCs w:val="24"/>
        </w:rPr>
        <w:t>irectiva</w:t>
      </w:r>
      <w:r w:rsidRPr="007E652E">
        <w:rPr>
          <w:rFonts w:ascii="Arial" w:eastAsia="Times New Roman" w:hAnsi="Arial" w:cs="Arial"/>
          <w:sz w:val="24"/>
          <w:szCs w:val="24"/>
        </w:rPr>
        <w:t xml:space="preserve"> (UE) 2016/943</w:t>
      </w:r>
      <w:r w:rsidRPr="007E652E">
        <w:rPr>
          <w:rFonts w:ascii="Arial" w:hAnsi="Arial" w:cs="Arial"/>
          <w:sz w:val="24"/>
          <w:szCs w:val="24"/>
        </w:rPr>
        <w:t xml:space="preserve"> </w:t>
      </w:r>
      <w:r w:rsidRPr="007E652E">
        <w:rPr>
          <w:rFonts w:ascii="Arial" w:eastAsia="Times New Roman" w:hAnsi="Arial" w:cs="Arial"/>
          <w:sz w:val="24"/>
          <w:szCs w:val="24"/>
          <w:lang w:val="es-ES_tradnl" w:eastAsia="es-ES"/>
        </w:rPr>
        <w:t xml:space="preserve"> obliga a dictar una norma para incorporar sus contenidos al ordenamiento jurídico nacional o a identificar las normas mediante las que ya se entiende incorporada ésta. Al crear nuevas obligaciones y derechos, procede que la norma de transposición tenga rango de ley.</w:t>
      </w:r>
    </w:p>
    <w:p w:rsidR="00094E00" w:rsidRPr="007E652E" w:rsidRDefault="00094E00" w:rsidP="00094E00">
      <w:pPr>
        <w:spacing w:before="240" w:after="240" w:line="360" w:lineRule="auto"/>
        <w:ind w:firstLine="708"/>
        <w:jc w:val="both"/>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xml:space="preserve">A la vista de la extensión de las cuestiones reguladas por la directiva europea, así como a la vista de la dificultad de cohonestar la sistemática de la regulación de la misma con la de la Ley 3/1991, de 10 de enero, de Competencia Desleal, y en su parte procesal, con la </w:t>
      </w:r>
      <w:r w:rsidR="00646076" w:rsidRPr="007E652E">
        <w:rPr>
          <w:rFonts w:ascii="Arial" w:eastAsia="Times New Roman" w:hAnsi="Arial" w:cs="Arial"/>
          <w:sz w:val="24"/>
          <w:szCs w:val="24"/>
          <w:lang w:val="es-ES_tradnl" w:eastAsia="es-ES"/>
        </w:rPr>
        <w:t>Ley 1/2000, de 7 de enero, de Enjuiciamiento Civil</w:t>
      </w:r>
      <w:r w:rsidRPr="007E652E">
        <w:rPr>
          <w:rFonts w:ascii="Arial" w:eastAsia="Times New Roman" w:hAnsi="Arial" w:cs="Arial"/>
          <w:sz w:val="24"/>
          <w:szCs w:val="24"/>
          <w:lang w:val="es-ES_tradnl" w:eastAsia="es-ES"/>
        </w:rPr>
        <w:t>, resulta obligado efectuar la transposición por medio de una norma de rango legal.</w:t>
      </w:r>
    </w:p>
    <w:p w:rsidR="00074A6B" w:rsidRPr="007E652E" w:rsidRDefault="00074A6B" w:rsidP="006A508E">
      <w:pPr>
        <w:spacing w:before="240" w:after="240" w:line="360" w:lineRule="auto"/>
        <w:ind w:firstLine="708"/>
        <w:jc w:val="both"/>
        <w:rPr>
          <w:rFonts w:ascii="Arial" w:eastAsia="Times New Roman" w:hAnsi="Arial" w:cs="Arial"/>
          <w:sz w:val="24"/>
          <w:szCs w:val="24"/>
          <w:lang w:eastAsia="es-ES"/>
        </w:rPr>
      </w:pPr>
    </w:p>
    <w:p w:rsidR="00221FD4" w:rsidRPr="007E652E" w:rsidRDefault="00A75C90" w:rsidP="00DB4BE4">
      <w:pPr>
        <w:pStyle w:val="Ttulo1"/>
        <w:rPr>
          <w:szCs w:val="24"/>
          <w:u w:val="single"/>
        </w:rPr>
      </w:pPr>
      <w:bookmarkStart w:id="15" w:name="_Toc511982523"/>
      <w:r w:rsidRPr="007E652E">
        <w:rPr>
          <w:szCs w:val="24"/>
          <w:u w:val="single"/>
        </w:rPr>
        <w:t>3. ANÁLISIS DE IMPACTOS</w:t>
      </w:r>
      <w:bookmarkEnd w:id="15"/>
    </w:p>
    <w:p w:rsidR="00A75C90" w:rsidRPr="007E652E" w:rsidRDefault="001418FE" w:rsidP="00DB4BE4">
      <w:pPr>
        <w:pStyle w:val="Ttulo2"/>
        <w:jc w:val="center"/>
        <w:rPr>
          <w:i w:val="0"/>
        </w:rPr>
      </w:pPr>
      <w:bookmarkStart w:id="16" w:name="_Toc511982524"/>
      <w:r w:rsidRPr="007E652E">
        <w:rPr>
          <w:i w:val="0"/>
        </w:rPr>
        <w:t>3.1</w:t>
      </w:r>
      <w:r w:rsidR="00A75C90" w:rsidRPr="007E652E">
        <w:rPr>
          <w:i w:val="0"/>
        </w:rPr>
        <w:t xml:space="preserve"> Adecuación al orden de distribución de competencias.</w:t>
      </w:r>
      <w:bookmarkEnd w:id="16"/>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Para dictar </w:t>
      </w:r>
      <w:r w:rsidR="000222C7" w:rsidRPr="007E652E">
        <w:rPr>
          <w:rFonts w:ascii="Arial" w:eastAsia="Times New Roman" w:hAnsi="Arial" w:cs="Arial"/>
          <w:sz w:val="24"/>
          <w:szCs w:val="24"/>
          <w:lang w:eastAsia="es-ES"/>
        </w:rPr>
        <w:t>la presente norma</w:t>
      </w:r>
      <w:r w:rsidRPr="007E652E">
        <w:rPr>
          <w:rFonts w:ascii="Arial" w:eastAsia="Times New Roman" w:hAnsi="Arial" w:cs="Arial"/>
          <w:sz w:val="24"/>
          <w:szCs w:val="24"/>
          <w:lang w:eastAsia="es-ES"/>
        </w:rPr>
        <w:t xml:space="preserve">, el título prevalente a favor del legislador estatal emana del </w:t>
      </w:r>
      <w:r w:rsidR="000222C7" w:rsidRPr="007E652E">
        <w:rPr>
          <w:rFonts w:ascii="Arial" w:eastAsia="Times New Roman" w:hAnsi="Arial" w:cs="Arial"/>
          <w:sz w:val="24"/>
          <w:szCs w:val="24"/>
          <w:lang w:eastAsia="es-ES"/>
        </w:rPr>
        <w:t xml:space="preserve">artículo 149.1.9ª de la Constitución en materia de legislación sobre propiedad industrial salvo los artículos 1.3 y 2.3.c), que se dictan al amparo del artículo 149.1.7ª de la Constitución que reconoce la competencia estatal sobre la legislación laboral, y el </w:t>
      </w:r>
      <w:r w:rsidR="00B00F84">
        <w:rPr>
          <w:rFonts w:ascii="Arial" w:eastAsia="Times New Roman" w:hAnsi="Arial" w:cs="Arial"/>
          <w:sz w:val="24"/>
          <w:szCs w:val="24"/>
          <w:lang w:eastAsia="es-ES"/>
        </w:rPr>
        <w:t>C</w:t>
      </w:r>
      <w:r w:rsidR="000222C7" w:rsidRPr="007E652E">
        <w:rPr>
          <w:rFonts w:ascii="Arial" w:eastAsia="Times New Roman" w:hAnsi="Arial" w:cs="Arial"/>
          <w:sz w:val="24"/>
          <w:szCs w:val="24"/>
          <w:lang w:eastAsia="es-ES"/>
        </w:rPr>
        <w:t>apítulo V que se ampara en el artículo 149.1.6ª de la Constitución que atribuye al Estado la competencia sobre legislación procesal.</w:t>
      </w:r>
    </w:p>
    <w:p w:rsidR="00EB61B6" w:rsidRPr="007E652E" w:rsidRDefault="00EB61B6"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Siguiendo la jurisprudencia de nuestro Tribunal Constitucional, en cuanto al deslinde entre legislación y ejecución puede afirmarse que la competencia de “legislación” ha de entenderse en sentido material, refiriéndose, por tanto, no sólo a la ley en sentido formal, sino también a los Reglamentos ejecutivos e, incluso, a las Circulares,</w:t>
      </w:r>
      <w:r w:rsidR="00F167CB" w:rsidRPr="007E652E">
        <w:rPr>
          <w:rFonts w:ascii="Arial" w:eastAsia="Times New Roman" w:hAnsi="Arial" w:cs="Arial"/>
          <w:sz w:val="24"/>
          <w:szCs w:val="24"/>
          <w:lang w:eastAsia="es-ES"/>
        </w:rPr>
        <w:t xml:space="preserve"> si tienen naturaleza normativa.</w:t>
      </w:r>
      <w:r w:rsidRPr="007E652E">
        <w:rPr>
          <w:rFonts w:ascii="Arial" w:eastAsia="Times New Roman" w:hAnsi="Arial" w:cs="Arial"/>
          <w:sz w:val="24"/>
          <w:szCs w:val="24"/>
          <w:lang w:eastAsia="es-ES"/>
        </w:rPr>
        <w:t xml:space="preserve"> Por su parte, la competencia de “ejecución” se extiende generalmente a todos los actos aplicativos, esto es, a la potestad de administrar que comporta, junto a las facultades de mera gestión, la de dictar Reglamentos internos de organización de los servicios correspondientes en la medida en que éstos sean necesarios para la mera estructuración interna de la organización administrativa. (SSTC 33/1981, FJ 4º; 18/1982, FJ 3º; 35/1982, FJ 2º; 7/1985, FJ 4º; 24/1988, FJ 2º; 100/1991, FJ 2º y 360/1993 FJ 4º)</w:t>
      </w:r>
    </w:p>
    <w:p w:rsidR="00EB61B6" w:rsidRPr="007E652E" w:rsidRDefault="00EB61B6"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ab/>
        <w:t>En resumen, como ha señalado el Tribunal Constitucional en su Sentencia 196/1997, que “</w:t>
      </w:r>
      <w:r w:rsidRPr="007E652E">
        <w:rPr>
          <w:rFonts w:ascii="Arial" w:eastAsia="Times New Roman" w:hAnsi="Arial" w:cs="Arial"/>
          <w:i/>
          <w:sz w:val="24"/>
          <w:szCs w:val="24"/>
          <w:lang w:eastAsia="es-ES"/>
        </w:rPr>
        <w:t>las competencias referidas a la legislación son normativas y comprenden la totalidad de la potestad para la regulación de la materia a que se contrae; y las competencias ejecutivas son por regla general, aplicativas, llevando a la práctica lo establecido en las disposiciones normativas</w:t>
      </w:r>
      <w:r w:rsidRPr="007E652E">
        <w:rPr>
          <w:rFonts w:ascii="Arial" w:eastAsia="Times New Roman" w:hAnsi="Arial" w:cs="Arial"/>
          <w:sz w:val="24"/>
          <w:szCs w:val="24"/>
          <w:lang w:eastAsia="es-ES"/>
        </w:rPr>
        <w:t>” (FJ 7º).</w:t>
      </w:r>
    </w:p>
    <w:p w:rsidR="00120C0A" w:rsidRPr="007E652E" w:rsidRDefault="00120C0A"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Además, nuestro Alto Tribunal ha afirmado en relación con la Ley de Marcas en su Sentencia 103/1999 que “</w:t>
      </w:r>
      <w:r w:rsidRPr="007E652E">
        <w:rPr>
          <w:rFonts w:ascii="Arial" w:eastAsia="Times New Roman" w:hAnsi="Arial" w:cs="Arial"/>
          <w:i/>
          <w:sz w:val="24"/>
          <w:szCs w:val="24"/>
          <w:lang w:eastAsia="es-ES"/>
        </w:rPr>
        <w:t>la competencia de legislación habilita al Estado para establecer un régimen jurídico unitario</w:t>
      </w:r>
      <w:r w:rsidRPr="007E652E">
        <w:rPr>
          <w:rFonts w:ascii="Arial" w:eastAsia="Times New Roman" w:hAnsi="Arial" w:cs="Arial"/>
          <w:sz w:val="24"/>
          <w:szCs w:val="24"/>
          <w:lang w:eastAsia="es-ES"/>
        </w:rPr>
        <w:t>” y que “</w:t>
      </w:r>
      <w:r w:rsidRPr="007E652E">
        <w:rPr>
          <w:rFonts w:ascii="Arial" w:eastAsia="Times New Roman" w:hAnsi="Arial" w:cs="Arial"/>
          <w:i/>
          <w:sz w:val="24"/>
          <w:szCs w:val="24"/>
          <w:lang w:eastAsia="es-ES"/>
        </w:rPr>
        <w:t xml:space="preserve">en supuestos en </w:t>
      </w:r>
      <w:r w:rsidRPr="007E652E">
        <w:rPr>
          <w:rFonts w:ascii="Arial" w:eastAsia="Times New Roman" w:hAnsi="Arial" w:cs="Arial"/>
          <w:i/>
          <w:sz w:val="24"/>
          <w:szCs w:val="24"/>
          <w:lang w:eastAsia="es-ES"/>
        </w:rPr>
        <w:lastRenderedPageBreak/>
        <w:t>que se atribuye la legislación al Estado y la ejecución a las Comunidades Autónomas, el traslado de la titularidad de determinadas competencias ejecutivas "cuando además del alcance territorial superior al de una Comunidad Autónoma del fenómeno objeto de la competencia, la actividad pública que sobre él se ejerza no sea susceptible de fraccionamiento y, aún en este caso, cuando dicha actuación no pueda llevarse a cabo por mecanismos de coordinación o cooperación, sino que requiera un grado de homogeneidad que sólo pueda garantizar la atribución a un único titular que forzosamente debe ser el Estado" (STC 243/1994, fundamento jurídico 6º; en el mismo sentido, STC 102/1995, fundamento jurídico 8º)</w:t>
      </w:r>
      <w:r w:rsidRPr="007E652E">
        <w:rPr>
          <w:rFonts w:ascii="Arial" w:eastAsia="Times New Roman" w:hAnsi="Arial" w:cs="Arial"/>
          <w:sz w:val="24"/>
          <w:szCs w:val="24"/>
          <w:lang w:eastAsia="es-ES"/>
        </w:rPr>
        <w:t>.”  (FJ 4)</w:t>
      </w:r>
    </w:p>
    <w:p w:rsidR="00A75C90" w:rsidRPr="007E652E" w:rsidRDefault="000D2FF1" w:rsidP="00DB4BE4">
      <w:pPr>
        <w:pStyle w:val="Ttulo2"/>
        <w:jc w:val="center"/>
        <w:rPr>
          <w:i w:val="0"/>
        </w:rPr>
      </w:pPr>
      <w:bookmarkStart w:id="17" w:name="_Toc511982525"/>
      <w:r w:rsidRPr="007E652E">
        <w:rPr>
          <w:i w:val="0"/>
        </w:rPr>
        <w:t>3.2</w:t>
      </w:r>
      <w:r w:rsidR="00A75C90" w:rsidRPr="007E652E">
        <w:rPr>
          <w:i w:val="0"/>
        </w:rPr>
        <w:t xml:space="preserve"> Impacto económico.</w:t>
      </w:r>
      <w:bookmarkEnd w:id="17"/>
    </w:p>
    <w:p w:rsidR="00B544ED" w:rsidRPr="007E652E" w:rsidRDefault="00A75C90" w:rsidP="00406387">
      <w:pPr>
        <w:spacing w:before="240" w:after="240" w:line="360" w:lineRule="auto"/>
        <w:jc w:val="both"/>
        <w:rPr>
          <w:rFonts w:ascii="Arial" w:eastAsia="Times New Roman" w:hAnsi="Arial" w:cs="Arial"/>
          <w:sz w:val="24"/>
          <w:szCs w:val="24"/>
          <w:lang w:eastAsia="es-ES"/>
        </w:rPr>
      </w:pPr>
      <w:r w:rsidRPr="007E652E">
        <w:rPr>
          <w:rFonts w:ascii="Arial" w:eastAsia="Times New Roman" w:hAnsi="Arial" w:cs="Arial"/>
          <w:b/>
          <w:sz w:val="24"/>
          <w:szCs w:val="24"/>
          <w:lang w:eastAsia="es-ES"/>
        </w:rPr>
        <w:tab/>
      </w:r>
      <w:r w:rsidR="00B544ED" w:rsidRPr="007E652E">
        <w:rPr>
          <w:rFonts w:ascii="Arial" w:eastAsia="Times New Roman" w:hAnsi="Arial" w:cs="Arial"/>
          <w:sz w:val="24"/>
          <w:szCs w:val="24"/>
          <w:lang w:eastAsia="es-ES"/>
        </w:rPr>
        <w:t xml:space="preserve">La </w:t>
      </w:r>
      <w:r w:rsidR="00DB0A08" w:rsidRPr="007E652E">
        <w:rPr>
          <w:rFonts w:ascii="Arial" w:eastAsia="Times New Roman" w:hAnsi="Arial" w:cs="Arial"/>
          <w:sz w:val="24"/>
          <w:szCs w:val="24"/>
          <w:lang w:eastAsia="es-ES"/>
        </w:rPr>
        <w:t xml:space="preserve">innovación constante en el campo de las </w:t>
      </w:r>
      <w:r w:rsidR="00B544ED" w:rsidRPr="007E652E">
        <w:rPr>
          <w:rFonts w:ascii="Arial" w:eastAsia="Times New Roman" w:hAnsi="Arial" w:cs="Arial"/>
          <w:sz w:val="24"/>
          <w:szCs w:val="24"/>
          <w:lang w:eastAsia="es-ES"/>
        </w:rPr>
        <w:t>telecomunicaciones</w:t>
      </w:r>
      <w:r w:rsidR="00DB0A08" w:rsidRPr="007E652E">
        <w:rPr>
          <w:rFonts w:ascii="Arial" w:eastAsia="Times New Roman" w:hAnsi="Arial" w:cs="Arial"/>
          <w:sz w:val="24"/>
          <w:szCs w:val="24"/>
          <w:lang w:eastAsia="es-ES"/>
        </w:rPr>
        <w:t xml:space="preserve"> y de la sociedad de la información,</w:t>
      </w:r>
      <w:r w:rsidR="00B544ED" w:rsidRPr="007E652E">
        <w:rPr>
          <w:rFonts w:ascii="Arial" w:eastAsia="Times New Roman" w:hAnsi="Arial" w:cs="Arial"/>
          <w:sz w:val="24"/>
          <w:szCs w:val="24"/>
          <w:lang w:eastAsia="es-ES"/>
        </w:rPr>
        <w:t xml:space="preserve"> la globalización y la economía colaborativa están posibilitando este histórico momento de revolución generalizada en todos los sectores económicos.</w:t>
      </w:r>
    </w:p>
    <w:p w:rsidR="00B544ED" w:rsidRPr="007E652E" w:rsidRDefault="00B544ED" w:rsidP="00014A37">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Pero, precisamente estos mismos factores que permiten y sustentan la revolución, ponen en riesgo esa misma innovación, ese conocimiento una vez se ha generado.</w:t>
      </w:r>
      <w:r w:rsidR="00014A37" w:rsidRPr="007E652E">
        <w:rPr>
          <w:rFonts w:ascii="Arial" w:eastAsia="Times New Roman" w:hAnsi="Arial" w:cs="Arial"/>
          <w:sz w:val="24"/>
          <w:szCs w:val="24"/>
          <w:lang w:eastAsia="es-ES"/>
        </w:rPr>
        <w:t xml:space="preserve"> </w:t>
      </w:r>
      <w:r w:rsidRPr="007E652E">
        <w:rPr>
          <w:rFonts w:ascii="Arial" w:eastAsia="Times New Roman" w:hAnsi="Arial" w:cs="Arial"/>
          <w:sz w:val="24"/>
          <w:szCs w:val="24"/>
          <w:lang w:eastAsia="es-ES"/>
        </w:rPr>
        <w:t xml:space="preserve">La </w:t>
      </w:r>
      <w:r w:rsidR="00B00F84">
        <w:rPr>
          <w:rFonts w:ascii="Arial" w:eastAsia="Times New Roman" w:hAnsi="Arial" w:cs="Arial"/>
          <w:sz w:val="24"/>
          <w:szCs w:val="24"/>
          <w:lang w:eastAsia="es-ES"/>
        </w:rPr>
        <w:t>D</w:t>
      </w:r>
      <w:r w:rsidR="000D2FF1" w:rsidRPr="007E652E">
        <w:rPr>
          <w:rFonts w:ascii="Arial" w:eastAsia="Times New Roman" w:hAnsi="Arial" w:cs="Arial"/>
          <w:sz w:val="24"/>
          <w:szCs w:val="24"/>
        </w:rPr>
        <w:t>irectiva (UE) 2016/943</w:t>
      </w:r>
      <w:r w:rsidR="000D2FF1" w:rsidRPr="007E652E">
        <w:rPr>
          <w:rFonts w:ascii="Arial" w:hAnsi="Arial" w:cs="Arial"/>
          <w:sz w:val="24"/>
          <w:szCs w:val="24"/>
        </w:rPr>
        <w:t xml:space="preserve"> </w:t>
      </w:r>
      <w:r w:rsidR="00014A37" w:rsidRPr="007E652E">
        <w:rPr>
          <w:rFonts w:ascii="Arial" w:eastAsia="Times New Roman" w:hAnsi="Arial" w:cs="Arial"/>
          <w:sz w:val="24"/>
          <w:szCs w:val="24"/>
          <w:lang w:val="es-ES_tradnl" w:eastAsia="es-ES"/>
        </w:rPr>
        <w:t>menciona adicionalmente</w:t>
      </w:r>
      <w:r w:rsidR="003C6AC6" w:rsidRPr="007E652E">
        <w:rPr>
          <w:rFonts w:ascii="Arial" w:eastAsia="Times New Roman" w:hAnsi="Arial" w:cs="Arial"/>
          <w:sz w:val="24"/>
          <w:szCs w:val="24"/>
          <w:lang w:val="es-ES_tradnl" w:eastAsia="es-ES"/>
        </w:rPr>
        <w:t xml:space="preserve"> </w:t>
      </w:r>
      <w:r w:rsidRPr="007E652E">
        <w:rPr>
          <w:rFonts w:ascii="Arial" w:eastAsia="Times New Roman" w:hAnsi="Arial" w:cs="Arial"/>
          <w:sz w:val="24"/>
          <w:szCs w:val="24"/>
          <w:lang w:eastAsia="es-ES"/>
        </w:rPr>
        <w:t>como factores de riesgo la generalización de las subcontrataciones y las cadenas de suministro, cada vez más largas y complejas.</w:t>
      </w:r>
    </w:p>
    <w:p w:rsidR="00B544ED" w:rsidRPr="007E652E" w:rsidRDefault="00B544ED"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Las ventajas competitivas basadas en un secreto </w:t>
      </w:r>
      <w:r w:rsidR="00014A37" w:rsidRPr="007E652E">
        <w:rPr>
          <w:rFonts w:ascii="Arial" w:eastAsia="Times New Roman" w:hAnsi="Arial" w:cs="Arial"/>
          <w:sz w:val="24"/>
          <w:szCs w:val="24"/>
          <w:lang w:eastAsia="es-ES"/>
        </w:rPr>
        <w:t xml:space="preserve">empresarial </w:t>
      </w:r>
      <w:r w:rsidRPr="007E652E">
        <w:rPr>
          <w:rFonts w:ascii="Arial" w:eastAsia="Times New Roman" w:hAnsi="Arial" w:cs="Arial"/>
          <w:sz w:val="24"/>
          <w:szCs w:val="24"/>
          <w:lang w:eastAsia="es-ES"/>
        </w:rPr>
        <w:t>están en peligro (competitividad reducida): la fragmentación de la protección jurídica dentro de la U</w:t>
      </w:r>
      <w:r w:rsidR="000D2FF1" w:rsidRPr="007E652E">
        <w:rPr>
          <w:rFonts w:ascii="Arial" w:eastAsia="Times New Roman" w:hAnsi="Arial" w:cs="Arial"/>
          <w:sz w:val="24"/>
          <w:szCs w:val="24"/>
          <w:lang w:eastAsia="es-ES"/>
        </w:rPr>
        <w:t xml:space="preserve">nión </w:t>
      </w:r>
      <w:r w:rsidRPr="007E652E">
        <w:rPr>
          <w:rFonts w:ascii="Arial" w:eastAsia="Times New Roman" w:hAnsi="Arial" w:cs="Arial"/>
          <w:sz w:val="24"/>
          <w:szCs w:val="24"/>
          <w:lang w:eastAsia="es-ES"/>
        </w:rPr>
        <w:t>E</w:t>
      </w:r>
      <w:r w:rsidR="000D2FF1" w:rsidRPr="007E652E">
        <w:rPr>
          <w:rFonts w:ascii="Arial" w:eastAsia="Times New Roman" w:hAnsi="Arial" w:cs="Arial"/>
          <w:sz w:val="24"/>
          <w:szCs w:val="24"/>
          <w:lang w:eastAsia="es-ES"/>
        </w:rPr>
        <w:t>uropea</w:t>
      </w:r>
      <w:r w:rsidRPr="007E652E">
        <w:rPr>
          <w:rFonts w:ascii="Arial" w:eastAsia="Times New Roman" w:hAnsi="Arial" w:cs="Arial"/>
          <w:sz w:val="24"/>
          <w:szCs w:val="24"/>
          <w:lang w:eastAsia="es-ES"/>
        </w:rPr>
        <w:t xml:space="preserve"> no garantiza un ámbito de protección y un nivel de reparación comparables en todo el mercado interior, lo que pone en peligro estas ventajas, estén o no relacionadas con la innovación, y socava la competitividad de los </w:t>
      </w:r>
      <w:r w:rsidR="002E6B39" w:rsidRPr="007E652E">
        <w:rPr>
          <w:rFonts w:ascii="Arial" w:eastAsia="Times New Roman" w:hAnsi="Arial" w:cs="Arial"/>
          <w:sz w:val="24"/>
          <w:szCs w:val="24"/>
          <w:lang w:eastAsia="es-ES"/>
        </w:rPr>
        <w:t xml:space="preserve">titulares </w:t>
      </w:r>
      <w:r w:rsidRPr="007E652E">
        <w:rPr>
          <w:rFonts w:ascii="Arial" w:eastAsia="Times New Roman" w:hAnsi="Arial" w:cs="Arial"/>
          <w:sz w:val="24"/>
          <w:szCs w:val="24"/>
          <w:lang w:eastAsia="es-ES"/>
        </w:rPr>
        <w:t xml:space="preserve">de secretos </w:t>
      </w:r>
      <w:r w:rsidR="002E6B39"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Por ejemplo, la industria química europea, que depende en gran medida de la innovación de los procesos sustentada en secretos </w:t>
      </w:r>
      <w:r w:rsidR="00C52D6F"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estima que la apropiación indebida de un secreto </w:t>
      </w:r>
      <w:r w:rsidR="002E6B39" w:rsidRPr="007E652E">
        <w:rPr>
          <w:rFonts w:ascii="Arial" w:eastAsia="Times New Roman" w:hAnsi="Arial" w:cs="Arial"/>
          <w:sz w:val="24"/>
          <w:szCs w:val="24"/>
          <w:lang w:eastAsia="es-ES"/>
        </w:rPr>
        <w:t xml:space="preserve">empresarial </w:t>
      </w:r>
      <w:r w:rsidRPr="007E652E">
        <w:rPr>
          <w:rFonts w:ascii="Arial" w:eastAsia="Times New Roman" w:hAnsi="Arial" w:cs="Arial"/>
          <w:sz w:val="24"/>
          <w:szCs w:val="24"/>
          <w:lang w:eastAsia="es-ES"/>
        </w:rPr>
        <w:t>podría conllevar en muchos casos una reducción del volumen de negocios de hasta un 30 %.</w:t>
      </w:r>
    </w:p>
    <w:p w:rsidR="00B544ED" w:rsidRPr="007E652E" w:rsidRDefault="00B544ED"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lastRenderedPageBreak/>
        <w:t xml:space="preserve">El objetivo de la iniciativa es garantizar que la competitividad de las empresas y organismos de investigación europeos que se basa en el </w:t>
      </w:r>
      <w:r w:rsidR="002E6B39"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saber hacer</w:t>
      </w:r>
      <w:r w:rsidR="002E6B39"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y en información empresarial no divulgados (secretos </w:t>
      </w:r>
      <w:r w:rsidR="00014A37"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esté protegida de manera adecuada</w:t>
      </w:r>
      <w:r w:rsidR="00014A37"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y mejorar las condiciones y el marco para el desarrollo y la explotación de la innovación y la transferencia de conocimientos en el mercado interior. Más en concreto, la iniciativa busca mejorar la eficacia de la protección jurídica de los secretos </w:t>
      </w:r>
      <w:r w:rsidR="00014A37" w:rsidRPr="007E652E">
        <w:rPr>
          <w:rFonts w:ascii="Arial" w:eastAsia="Times New Roman" w:hAnsi="Arial" w:cs="Arial"/>
          <w:sz w:val="24"/>
          <w:szCs w:val="24"/>
          <w:lang w:eastAsia="es-ES"/>
        </w:rPr>
        <w:t xml:space="preserve">empresariales </w:t>
      </w:r>
      <w:r w:rsidRPr="007E652E">
        <w:rPr>
          <w:rFonts w:ascii="Arial" w:eastAsia="Times New Roman" w:hAnsi="Arial" w:cs="Arial"/>
          <w:sz w:val="24"/>
          <w:szCs w:val="24"/>
          <w:lang w:eastAsia="es-ES"/>
        </w:rPr>
        <w:t>contra la apropiación indebida en todo el mercado interior.</w:t>
      </w:r>
    </w:p>
    <w:p w:rsidR="00DB0A08" w:rsidRPr="007E652E" w:rsidRDefault="00020D46"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En cuanto a sus efectos, la convergencia de los remedios de Derecho civil permitiría a las empresas innovadoras defender sus secretos </w:t>
      </w:r>
      <w:r w:rsidR="00014A37" w:rsidRPr="007E652E">
        <w:rPr>
          <w:rFonts w:ascii="Arial" w:eastAsia="Times New Roman" w:hAnsi="Arial" w:cs="Arial"/>
          <w:sz w:val="24"/>
          <w:szCs w:val="24"/>
          <w:lang w:eastAsia="es-ES"/>
        </w:rPr>
        <w:t xml:space="preserve">empresariales </w:t>
      </w:r>
      <w:r w:rsidRPr="007E652E">
        <w:rPr>
          <w:rFonts w:ascii="Arial" w:eastAsia="Times New Roman" w:hAnsi="Arial" w:cs="Arial"/>
          <w:sz w:val="24"/>
          <w:szCs w:val="24"/>
          <w:lang w:eastAsia="es-ES"/>
        </w:rPr>
        <w:t>legítimos de forma más eficaz en toda la U</w:t>
      </w:r>
      <w:r w:rsidR="000D2FF1" w:rsidRPr="007E652E">
        <w:rPr>
          <w:rFonts w:ascii="Arial" w:eastAsia="Times New Roman" w:hAnsi="Arial" w:cs="Arial"/>
          <w:sz w:val="24"/>
          <w:szCs w:val="24"/>
          <w:lang w:eastAsia="es-ES"/>
        </w:rPr>
        <w:t xml:space="preserve">nión </w:t>
      </w:r>
      <w:r w:rsidRPr="007E652E">
        <w:rPr>
          <w:rFonts w:ascii="Arial" w:eastAsia="Times New Roman" w:hAnsi="Arial" w:cs="Arial"/>
          <w:sz w:val="24"/>
          <w:szCs w:val="24"/>
          <w:lang w:eastAsia="es-ES"/>
        </w:rPr>
        <w:t>E</w:t>
      </w:r>
      <w:r w:rsidR="000D2FF1" w:rsidRPr="007E652E">
        <w:rPr>
          <w:rFonts w:ascii="Arial" w:eastAsia="Times New Roman" w:hAnsi="Arial" w:cs="Arial"/>
          <w:sz w:val="24"/>
          <w:szCs w:val="24"/>
          <w:lang w:eastAsia="es-ES"/>
        </w:rPr>
        <w:t>uropea</w:t>
      </w:r>
      <w:r w:rsidRPr="007E652E">
        <w:rPr>
          <w:rFonts w:ascii="Arial" w:eastAsia="Times New Roman" w:hAnsi="Arial" w:cs="Arial"/>
          <w:sz w:val="24"/>
          <w:szCs w:val="24"/>
          <w:lang w:eastAsia="es-ES"/>
        </w:rPr>
        <w:t xml:space="preserve">. Asimismo, si los </w:t>
      </w:r>
      <w:r w:rsidR="00014A37" w:rsidRPr="007E652E">
        <w:rPr>
          <w:rFonts w:ascii="Arial" w:eastAsia="Times New Roman" w:hAnsi="Arial" w:cs="Arial"/>
          <w:sz w:val="24"/>
          <w:szCs w:val="24"/>
          <w:lang w:eastAsia="es-ES"/>
        </w:rPr>
        <w:t>titulares</w:t>
      </w:r>
      <w:r w:rsidRPr="007E652E">
        <w:rPr>
          <w:rFonts w:ascii="Arial" w:eastAsia="Times New Roman" w:hAnsi="Arial" w:cs="Arial"/>
          <w:sz w:val="24"/>
          <w:szCs w:val="24"/>
          <w:lang w:eastAsia="es-ES"/>
        </w:rPr>
        <w:t xml:space="preserve"> de secretos </w:t>
      </w:r>
      <w:r w:rsidR="00014A37"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pudieran confiar en la confidencialidad durante los procedimientos judiciales, estarían más dispuestos a solicitar protección jurídica contra los daños que pudieran sufrir en caso de apropiación indebida de</w:t>
      </w:r>
      <w:r w:rsidR="00014A37" w:rsidRPr="007E652E">
        <w:rPr>
          <w:rFonts w:ascii="Arial" w:eastAsia="Times New Roman" w:hAnsi="Arial" w:cs="Arial"/>
          <w:sz w:val="24"/>
          <w:szCs w:val="24"/>
          <w:lang w:eastAsia="es-ES"/>
        </w:rPr>
        <w:t xml:space="preserve"> dichos</w:t>
      </w:r>
      <w:r w:rsidRPr="007E652E">
        <w:rPr>
          <w:rFonts w:ascii="Arial" w:eastAsia="Times New Roman" w:hAnsi="Arial" w:cs="Arial"/>
          <w:sz w:val="24"/>
          <w:szCs w:val="24"/>
          <w:lang w:eastAsia="es-ES"/>
        </w:rPr>
        <w:t xml:space="preserve"> secretos. Una seguridad jurídica reforzada y una convergencia legislativa contribuirían a aumentar el valor de las innovaciones que las empresas tratan de proteger como secretos </w:t>
      </w:r>
      <w:r w:rsidR="00014A37"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ya que se reduciría el riesgo de apropiación indebida. </w:t>
      </w:r>
    </w:p>
    <w:p w:rsidR="00DB0A08" w:rsidRPr="007E652E" w:rsidRDefault="00020D46"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b/>
          <w:sz w:val="24"/>
          <w:szCs w:val="24"/>
          <w:lang w:eastAsia="es-ES"/>
        </w:rPr>
        <w:t>Son de esperar efectos positivos en el funcionamiento del mercado interior,</w:t>
      </w:r>
      <w:r w:rsidRPr="007E652E">
        <w:rPr>
          <w:rFonts w:ascii="Arial" w:eastAsia="Times New Roman" w:hAnsi="Arial" w:cs="Arial"/>
          <w:sz w:val="24"/>
          <w:szCs w:val="24"/>
          <w:lang w:eastAsia="es-ES"/>
        </w:rPr>
        <w:t xml:space="preserve"> ya que las empresas, especialmente las PYME, y los investigadores podr</w:t>
      </w:r>
      <w:r w:rsidR="00B54B42" w:rsidRPr="007E652E">
        <w:rPr>
          <w:rFonts w:ascii="Arial" w:eastAsia="Times New Roman" w:hAnsi="Arial" w:cs="Arial"/>
          <w:sz w:val="24"/>
          <w:szCs w:val="24"/>
          <w:lang w:eastAsia="es-ES"/>
        </w:rPr>
        <w:t>á</w:t>
      </w:r>
      <w:r w:rsidRPr="007E652E">
        <w:rPr>
          <w:rFonts w:ascii="Arial" w:eastAsia="Times New Roman" w:hAnsi="Arial" w:cs="Arial"/>
          <w:sz w:val="24"/>
          <w:szCs w:val="24"/>
          <w:lang w:eastAsia="es-ES"/>
        </w:rPr>
        <w:t xml:space="preserve">n hacer un mejor uso de sus ideas innovadoras, cooperando con los mejores socios en la </w:t>
      </w:r>
      <w:r w:rsidR="000D2FF1" w:rsidRPr="007E652E">
        <w:rPr>
          <w:rFonts w:ascii="Arial" w:eastAsia="Times New Roman" w:hAnsi="Arial" w:cs="Arial"/>
          <w:sz w:val="24"/>
          <w:szCs w:val="24"/>
          <w:lang w:eastAsia="es-ES"/>
        </w:rPr>
        <w:t>Unión Europea</w:t>
      </w:r>
      <w:r w:rsidRPr="007E652E">
        <w:rPr>
          <w:rFonts w:ascii="Arial" w:eastAsia="Times New Roman" w:hAnsi="Arial" w:cs="Arial"/>
          <w:sz w:val="24"/>
          <w:szCs w:val="24"/>
          <w:lang w:eastAsia="es-ES"/>
        </w:rPr>
        <w:t>, lo que contribuir</w:t>
      </w:r>
      <w:r w:rsidR="00B54B42" w:rsidRPr="007E652E">
        <w:rPr>
          <w:rFonts w:ascii="Arial" w:eastAsia="Times New Roman" w:hAnsi="Arial" w:cs="Arial"/>
          <w:sz w:val="24"/>
          <w:szCs w:val="24"/>
          <w:lang w:eastAsia="es-ES"/>
        </w:rPr>
        <w:t>á</w:t>
      </w:r>
      <w:r w:rsidRPr="007E652E">
        <w:rPr>
          <w:rFonts w:ascii="Arial" w:eastAsia="Times New Roman" w:hAnsi="Arial" w:cs="Arial"/>
          <w:sz w:val="24"/>
          <w:szCs w:val="24"/>
          <w:lang w:eastAsia="es-ES"/>
        </w:rPr>
        <w:t xml:space="preserve"> a aumentar la inversión del sector privado en I+D en el mercado interior. </w:t>
      </w:r>
    </w:p>
    <w:p w:rsidR="00DB0A08" w:rsidRPr="007E652E" w:rsidRDefault="00020D46"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b/>
          <w:sz w:val="24"/>
          <w:szCs w:val="24"/>
          <w:lang w:eastAsia="es-ES"/>
        </w:rPr>
        <w:t xml:space="preserve">Al mismo tiempo, la competencia no </w:t>
      </w:r>
      <w:r w:rsidR="00DB0A08" w:rsidRPr="007E652E">
        <w:rPr>
          <w:rFonts w:ascii="Arial" w:eastAsia="Times New Roman" w:hAnsi="Arial" w:cs="Arial"/>
          <w:b/>
          <w:sz w:val="24"/>
          <w:szCs w:val="24"/>
          <w:lang w:eastAsia="es-ES"/>
        </w:rPr>
        <w:t>se ver</w:t>
      </w:r>
      <w:r w:rsidR="00B54B42" w:rsidRPr="007E652E">
        <w:rPr>
          <w:rFonts w:ascii="Arial" w:eastAsia="Times New Roman" w:hAnsi="Arial" w:cs="Arial"/>
          <w:b/>
          <w:sz w:val="24"/>
          <w:szCs w:val="24"/>
          <w:lang w:eastAsia="es-ES"/>
        </w:rPr>
        <w:t>á</w:t>
      </w:r>
      <w:r w:rsidR="00DB0A08" w:rsidRPr="007E652E">
        <w:rPr>
          <w:rFonts w:ascii="Arial" w:eastAsia="Times New Roman" w:hAnsi="Arial" w:cs="Arial"/>
          <w:b/>
          <w:sz w:val="24"/>
          <w:szCs w:val="24"/>
          <w:lang w:eastAsia="es-ES"/>
        </w:rPr>
        <w:t xml:space="preserve"> </w:t>
      </w:r>
      <w:r w:rsidRPr="007E652E">
        <w:rPr>
          <w:rFonts w:ascii="Arial" w:eastAsia="Times New Roman" w:hAnsi="Arial" w:cs="Arial"/>
          <w:b/>
          <w:sz w:val="24"/>
          <w:szCs w:val="24"/>
          <w:lang w:eastAsia="es-ES"/>
        </w:rPr>
        <w:t>restringida</w:t>
      </w:r>
      <w:r w:rsidRPr="007E652E">
        <w:rPr>
          <w:rFonts w:ascii="Arial" w:eastAsia="Times New Roman" w:hAnsi="Arial" w:cs="Arial"/>
          <w:sz w:val="24"/>
          <w:szCs w:val="24"/>
          <w:lang w:eastAsia="es-ES"/>
        </w:rPr>
        <w:t>, pues no se otorgar</w:t>
      </w:r>
      <w:r w:rsidR="00B54B42" w:rsidRPr="007E652E">
        <w:rPr>
          <w:rFonts w:ascii="Arial" w:eastAsia="Times New Roman" w:hAnsi="Arial" w:cs="Arial"/>
          <w:sz w:val="24"/>
          <w:szCs w:val="24"/>
          <w:lang w:eastAsia="es-ES"/>
        </w:rPr>
        <w:t>a</w:t>
      </w:r>
      <w:r w:rsidRPr="007E652E">
        <w:rPr>
          <w:rFonts w:ascii="Arial" w:eastAsia="Times New Roman" w:hAnsi="Arial" w:cs="Arial"/>
          <w:sz w:val="24"/>
          <w:szCs w:val="24"/>
          <w:lang w:eastAsia="es-ES"/>
        </w:rPr>
        <w:t xml:space="preserve">n derechos exclusivos y cualquier competidor sería libre de obtener de forma independiente (incluso mediante ingeniería inversa) los conocimientos protegidos por el secreto </w:t>
      </w:r>
      <w:r w:rsidR="00014A37" w:rsidRPr="007E652E">
        <w:rPr>
          <w:rFonts w:ascii="Arial" w:eastAsia="Times New Roman" w:hAnsi="Arial" w:cs="Arial"/>
          <w:sz w:val="24"/>
          <w:szCs w:val="24"/>
          <w:lang w:eastAsia="es-ES"/>
        </w:rPr>
        <w:t>empresariale</w:t>
      </w:r>
      <w:r w:rsidR="002E6B39" w:rsidRPr="007E652E">
        <w:rPr>
          <w:rFonts w:ascii="Arial" w:eastAsia="Times New Roman" w:hAnsi="Arial" w:cs="Arial"/>
          <w:sz w:val="24"/>
          <w:szCs w:val="24"/>
          <w:lang w:eastAsia="es-ES"/>
        </w:rPr>
        <w:t>s</w:t>
      </w:r>
      <w:r w:rsidRPr="007E652E">
        <w:rPr>
          <w:rFonts w:ascii="Arial" w:eastAsia="Times New Roman" w:hAnsi="Arial" w:cs="Arial"/>
          <w:sz w:val="24"/>
          <w:szCs w:val="24"/>
          <w:lang w:eastAsia="es-ES"/>
        </w:rPr>
        <w:t xml:space="preserve">. </w:t>
      </w:r>
      <w:r w:rsidRPr="007E652E">
        <w:rPr>
          <w:rFonts w:ascii="Arial" w:eastAsia="Times New Roman" w:hAnsi="Arial" w:cs="Arial"/>
          <w:b/>
          <w:sz w:val="24"/>
          <w:szCs w:val="24"/>
          <w:lang w:eastAsia="es-ES"/>
        </w:rPr>
        <w:t>Del mismo modo, no debería haber efectos negativos para la contratación y la movilidad de mano de obra altamente cualificada</w:t>
      </w:r>
      <w:r w:rsidRPr="007E652E">
        <w:rPr>
          <w:rFonts w:ascii="Arial" w:eastAsia="Times New Roman" w:hAnsi="Arial" w:cs="Arial"/>
          <w:sz w:val="24"/>
          <w:szCs w:val="24"/>
          <w:lang w:eastAsia="es-ES"/>
        </w:rPr>
        <w:t xml:space="preserve"> (los que tienen acceso a los secretos </w:t>
      </w:r>
      <w:r w:rsidR="00014A37" w:rsidRPr="007E652E">
        <w:rPr>
          <w:rFonts w:ascii="Arial" w:eastAsia="Times New Roman" w:hAnsi="Arial" w:cs="Arial"/>
          <w:sz w:val="24"/>
          <w:szCs w:val="24"/>
          <w:lang w:eastAsia="es-ES"/>
        </w:rPr>
        <w:t>empresariales</w:t>
      </w:r>
      <w:r w:rsidRPr="007E652E">
        <w:rPr>
          <w:rFonts w:ascii="Arial" w:eastAsia="Times New Roman" w:hAnsi="Arial" w:cs="Arial"/>
          <w:sz w:val="24"/>
          <w:szCs w:val="24"/>
          <w:lang w:eastAsia="es-ES"/>
        </w:rPr>
        <w:t xml:space="preserve">) en el mercado interior. </w:t>
      </w:r>
      <w:r w:rsidRPr="007E652E">
        <w:rPr>
          <w:rFonts w:ascii="Arial" w:eastAsia="Times New Roman" w:hAnsi="Arial" w:cs="Arial"/>
          <w:b/>
          <w:sz w:val="24"/>
          <w:szCs w:val="24"/>
          <w:u w:val="single"/>
          <w:lang w:eastAsia="es-ES"/>
        </w:rPr>
        <w:t xml:space="preserve">Con el tiempo, deberían dejarse sentir efectos positivos en la competitividad y el crecimiento de la economía de </w:t>
      </w:r>
      <w:r w:rsidR="00DB0A08" w:rsidRPr="007E652E">
        <w:rPr>
          <w:rFonts w:ascii="Arial" w:eastAsia="Times New Roman" w:hAnsi="Arial" w:cs="Arial"/>
          <w:b/>
          <w:sz w:val="24"/>
          <w:szCs w:val="24"/>
          <w:u w:val="single"/>
          <w:lang w:eastAsia="es-ES"/>
        </w:rPr>
        <w:t>España y del resto de p</w:t>
      </w:r>
      <w:r w:rsidR="00014A37" w:rsidRPr="007E652E">
        <w:rPr>
          <w:rFonts w:ascii="Arial" w:eastAsia="Times New Roman" w:hAnsi="Arial" w:cs="Arial"/>
          <w:b/>
          <w:sz w:val="24"/>
          <w:szCs w:val="24"/>
          <w:u w:val="single"/>
          <w:lang w:eastAsia="es-ES"/>
        </w:rPr>
        <w:t>aí</w:t>
      </w:r>
      <w:r w:rsidR="00DB0A08" w:rsidRPr="007E652E">
        <w:rPr>
          <w:rFonts w:ascii="Arial" w:eastAsia="Times New Roman" w:hAnsi="Arial" w:cs="Arial"/>
          <w:b/>
          <w:sz w:val="24"/>
          <w:szCs w:val="24"/>
          <w:u w:val="single"/>
          <w:lang w:eastAsia="es-ES"/>
        </w:rPr>
        <w:t xml:space="preserve">ses de </w:t>
      </w:r>
      <w:r w:rsidRPr="007E652E">
        <w:rPr>
          <w:rFonts w:ascii="Arial" w:eastAsia="Times New Roman" w:hAnsi="Arial" w:cs="Arial"/>
          <w:b/>
          <w:sz w:val="24"/>
          <w:szCs w:val="24"/>
          <w:u w:val="single"/>
          <w:lang w:eastAsia="es-ES"/>
        </w:rPr>
        <w:t xml:space="preserve">la </w:t>
      </w:r>
      <w:r w:rsidR="000D2FF1" w:rsidRPr="007E652E">
        <w:rPr>
          <w:rFonts w:ascii="Arial" w:eastAsia="Times New Roman" w:hAnsi="Arial" w:cs="Arial"/>
          <w:b/>
          <w:sz w:val="24"/>
          <w:szCs w:val="24"/>
          <w:u w:val="single"/>
          <w:lang w:eastAsia="es-ES"/>
        </w:rPr>
        <w:t>Unión Europea</w:t>
      </w:r>
      <w:r w:rsidRPr="007E652E">
        <w:rPr>
          <w:rFonts w:ascii="Arial" w:eastAsia="Times New Roman" w:hAnsi="Arial" w:cs="Arial"/>
          <w:sz w:val="24"/>
          <w:szCs w:val="24"/>
          <w:lang w:eastAsia="es-ES"/>
        </w:rPr>
        <w:t xml:space="preserve">. </w:t>
      </w:r>
    </w:p>
    <w:p w:rsidR="00020D46" w:rsidRPr="007E652E" w:rsidRDefault="00DB0A08"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b/>
          <w:sz w:val="24"/>
          <w:szCs w:val="24"/>
          <w:lang w:eastAsia="es-ES"/>
        </w:rPr>
        <w:lastRenderedPageBreak/>
        <w:t>Además, e</w:t>
      </w:r>
      <w:r w:rsidR="00020D46" w:rsidRPr="007E652E">
        <w:rPr>
          <w:rFonts w:ascii="Arial" w:eastAsia="Times New Roman" w:hAnsi="Arial" w:cs="Arial"/>
          <w:b/>
          <w:sz w:val="24"/>
          <w:szCs w:val="24"/>
          <w:lang w:eastAsia="es-ES"/>
        </w:rPr>
        <w:t xml:space="preserve">sta iniciativa </w:t>
      </w:r>
      <w:r w:rsidRPr="007E652E">
        <w:rPr>
          <w:rFonts w:ascii="Arial" w:eastAsia="Times New Roman" w:hAnsi="Arial" w:cs="Arial"/>
          <w:b/>
          <w:sz w:val="24"/>
          <w:szCs w:val="24"/>
          <w:lang w:eastAsia="es-ES"/>
        </w:rPr>
        <w:t>en particular</w:t>
      </w:r>
      <w:r w:rsidR="00020D46" w:rsidRPr="007E652E">
        <w:rPr>
          <w:rFonts w:ascii="Arial" w:eastAsia="Times New Roman" w:hAnsi="Arial" w:cs="Arial"/>
          <w:b/>
          <w:sz w:val="24"/>
          <w:szCs w:val="24"/>
          <w:lang w:eastAsia="es-ES"/>
        </w:rPr>
        <w:t xml:space="preserve"> promoverá el derecho de propiedad y la libertad de empresa</w:t>
      </w:r>
      <w:r w:rsidR="00020D46" w:rsidRPr="007E652E">
        <w:rPr>
          <w:rFonts w:ascii="Arial" w:eastAsia="Times New Roman" w:hAnsi="Arial" w:cs="Arial"/>
          <w:sz w:val="24"/>
          <w:szCs w:val="24"/>
          <w:lang w:eastAsia="es-ES"/>
        </w:rPr>
        <w:t>. En lo que respecta al acceso a los documentos en los procedimientos judiciales, se han tomado medidas para garantizar los derechos de la defensa. La iniciativa contiene asimismo medidas de salvaguarda destinadas a garantizar la libertad de expresión y de información.</w:t>
      </w:r>
    </w:p>
    <w:p w:rsidR="00020D46" w:rsidRPr="007E652E" w:rsidRDefault="00DB0A08"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Por último, e</w:t>
      </w:r>
      <w:r w:rsidR="00020D46" w:rsidRPr="007E652E">
        <w:rPr>
          <w:rFonts w:ascii="Arial" w:eastAsia="Times New Roman" w:hAnsi="Arial" w:cs="Arial"/>
          <w:sz w:val="24"/>
          <w:szCs w:val="24"/>
          <w:lang w:eastAsia="es-ES"/>
        </w:rPr>
        <w:t xml:space="preserve">sta iniciativa es compatible con las obligaciones internacionales, especialmente el </w:t>
      </w:r>
      <w:r w:rsidR="00020D46" w:rsidRPr="007E652E">
        <w:rPr>
          <w:rFonts w:ascii="Arial" w:eastAsia="Times New Roman" w:hAnsi="Arial" w:cs="Arial"/>
          <w:b/>
          <w:sz w:val="24"/>
          <w:szCs w:val="24"/>
          <w:lang w:eastAsia="es-ES"/>
        </w:rPr>
        <w:t xml:space="preserve">Acuerdo sobre los aspectos de los derechos de propiedad intelectual </w:t>
      </w:r>
      <w:r w:rsidR="00020D46" w:rsidRPr="007E652E">
        <w:rPr>
          <w:rFonts w:ascii="Arial" w:eastAsia="Times New Roman" w:hAnsi="Arial" w:cs="Arial"/>
          <w:b/>
          <w:sz w:val="24"/>
          <w:szCs w:val="24"/>
          <w:u w:val="single"/>
          <w:lang w:eastAsia="es-ES"/>
        </w:rPr>
        <w:t>relacionados con el comercio</w:t>
      </w:r>
      <w:r w:rsidR="00020D46" w:rsidRPr="007E652E">
        <w:rPr>
          <w:rFonts w:ascii="Arial" w:eastAsia="Times New Roman" w:hAnsi="Arial" w:cs="Arial"/>
          <w:b/>
          <w:sz w:val="24"/>
          <w:szCs w:val="24"/>
          <w:lang w:eastAsia="es-ES"/>
        </w:rPr>
        <w:t xml:space="preserve"> (Acuerdo sobre los ADPIC).</w:t>
      </w:r>
      <w:r w:rsidR="00020D46" w:rsidRPr="007E652E">
        <w:rPr>
          <w:rFonts w:ascii="Arial" w:eastAsia="Times New Roman" w:hAnsi="Arial" w:cs="Arial"/>
          <w:sz w:val="24"/>
          <w:szCs w:val="24"/>
          <w:lang w:eastAsia="es-ES"/>
        </w:rPr>
        <w:t xml:space="preserve"> Importantes socios comerciales de la </w:t>
      </w:r>
      <w:r w:rsidR="000D2FF1" w:rsidRPr="007E652E">
        <w:rPr>
          <w:rFonts w:ascii="Arial" w:eastAsia="Times New Roman" w:hAnsi="Arial" w:cs="Arial"/>
          <w:sz w:val="24"/>
          <w:szCs w:val="24"/>
          <w:lang w:eastAsia="es-ES"/>
        </w:rPr>
        <w:t>Unión Europea</w:t>
      </w:r>
      <w:r w:rsidR="00020D46" w:rsidRPr="007E652E">
        <w:rPr>
          <w:rFonts w:ascii="Arial" w:eastAsia="Times New Roman" w:hAnsi="Arial" w:cs="Arial"/>
          <w:sz w:val="24"/>
          <w:szCs w:val="24"/>
          <w:lang w:eastAsia="es-ES"/>
        </w:rPr>
        <w:t xml:space="preserve"> cuentan con legislación similar en la materia.</w:t>
      </w:r>
    </w:p>
    <w:p w:rsidR="00DB0A08" w:rsidRPr="007E652E" w:rsidRDefault="00DB0A08" w:rsidP="006A508E">
      <w:pPr>
        <w:spacing w:before="240" w:after="240" w:line="360" w:lineRule="auto"/>
        <w:ind w:firstLine="708"/>
        <w:jc w:val="both"/>
        <w:rPr>
          <w:rFonts w:ascii="Arial" w:eastAsia="Times New Roman" w:hAnsi="Arial" w:cs="Arial"/>
          <w:sz w:val="24"/>
          <w:szCs w:val="24"/>
          <w:lang w:eastAsia="es-ES"/>
        </w:rPr>
      </w:pPr>
    </w:p>
    <w:p w:rsidR="007705C3" w:rsidRPr="007E652E" w:rsidRDefault="000D2FF1" w:rsidP="00DB4BE4">
      <w:pPr>
        <w:pStyle w:val="Ttulo2"/>
        <w:jc w:val="center"/>
        <w:rPr>
          <w:i w:val="0"/>
        </w:rPr>
      </w:pPr>
      <w:bookmarkStart w:id="18" w:name="_Toc511982526"/>
      <w:r w:rsidRPr="007E652E">
        <w:rPr>
          <w:i w:val="0"/>
        </w:rPr>
        <w:t>3.3</w:t>
      </w:r>
      <w:r w:rsidR="007705C3" w:rsidRPr="007E652E">
        <w:rPr>
          <w:i w:val="0"/>
        </w:rPr>
        <w:t xml:space="preserve"> Impacto presupuestario.</w:t>
      </w:r>
      <w:bookmarkEnd w:id="18"/>
    </w:p>
    <w:p w:rsidR="007705C3" w:rsidRPr="007E652E" w:rsidRDefault="00262547" w:rsidP="000D2FF1">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El impacto de este </w:t>
      </w:r>
      <w:r w:rsidR="00D340FD" w:rsidRPr="007E652E">
        <w:rPr>
          <w:rFonts w:ascii="Arial" w:eastAsia="Times New Roman" w:hAnsi="Arial" w:cs="Arial"/>
          <w:sz w:val="24"/>
          <w:szCs w:val="24"/>
          <w:lang w:eastAsia="es-ES"/>
        </w:rPr>
        <w:t>a</w:t>
      </w:r>
      <w:r w:rsidR="005826E8" w:rsidRPr="007E652E">
        <w:rPr>
          <w:rFonts w:ascii="Arial" w:eastAsia="Times New Roman" w:hAnsi="Arial" w:cs="Arial"/>
          <w:sz w:val="24"/>
          <w:szCs w:val="24"/>
          <w:lang w:eastAsia="es-ES"/>
        </w:rPr>
        <w:t>nteproyecto</w:t>
      </w:r>
      <w:r w:rsidRPr="007E652E">
        <w:rPr>
          <w:rFonts w:ascii="Arial" w:eastAsia="Times New Roman" w:hAnsi="Arial" w:cs="Arial"/>
          <w:sz w:val="24"/>
          <w:szCs w:val="24"/>
          <w:lang w:eastAsia="es-ES"/>
        </w:rPr>
        <w:t xml:space="preserve"> en los Presupuestos Generales del Estado es nulo, no generando ningún compromiso ni obligación económica extra. Asimismo, es preciso indicar que la norma proyectada no implicará la necesidad de incrementar las dotaciones, ni las retribuciones u otros costes de personal al servicio del sector público</w:t>
      </w:r>
      <w:r w:rsidR="00014A37"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pues se </w:t>
      </w:r>
      <w:r w:rsidR="007705C3" w:rsidRPr="007E652E">
        <w:rPr>
          <w:rFonts w:ascii="Arial" w:eastAsia="Times New Roman" w:hAnsi="Arial" w:cs="Arial"/>
          <w:sz w:val="24"/>
          <w:szCs w:val="24"/>
          <w:lang w:eastAsia="es-ES"/>
        </w:rPr>
        <w:t xml:space="preserve">considera que los medios existentes en la actualidad serán suficientes para llevar a cabo las actuaciones </w:t>
      </w:r>
      <w:r w:rsidRPr="007E652E">
        <w:rPr>
          <w:rFonts w:ascii="Arial" w:eastAsia="Times New Roman" w:hAnsi="Arial" w:cs="Arial"/>
          <w:sz w:val="24"/>
          <w:szCs w:val="24"/>
          <w:lang w:eastAsia="es-ES"/>
        </w:rPr>
        <w:t>previstas</w:t>
      </w:r>
      <w:r w:rsidR="007705C3" w:rsidRPr="007E652E">
        <w:rPr>
          <w:rFonts w:ascii="Arial" w:eastAsia="Times New Roman" w:hAnsi="Arial" w:cs="Arial"/>
          <w:sz w:val="24"/>
          <w:szCs w:val="24"/>
          <w:lang w:eastAsia="es-ES"/>
        </w:rPr>
        <w:t xml:space="preserve">. </w:t>
      </w:r>
    </w:p>
    <w:p w:rsidR="007705C3" w:rsidRPr="007E652E" w:rsidRDefault="007705C3"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En suma, las medidas incluidas en esta norma no podrán suponer incremento de dotaciones de personal ni de retribuciones ni de otros gastos del sector público.</w:t>
      </w:r>
    </w:p>
    <w:p w:rsidR="00A75C90" w:rsidRPr="007E652E" w:rsidRDefault="000D2FF1" w:rsidP="00DB4BE4">
      <w:pPr>
        <w:pStyle w:val="Ttulo2"/>
        <w:jc w:val="center"/>
        <w:rPr>
          <w:i w:val="0"/>
        </w:rPr>
      </w:pPr>
      <w:bookmarkStart w:id="19" w:name="_Toc511982527"/>
      <w:r w:rsidRPr="007E652E">
        <w:rPr>
          <w:i w:val="0"/>
        </w:rPr>
        <w:t>3.4</w:t>
      </w:r>
      <w:r w:rsidR="00A75C90" w:rsidRPr="007E652E">
        <w:rPr>
          <w:i w:val="0"/>
        </w:rPr>
        <w:t xml:space="preserve"> Cargas administrativas.</w:t>
      </w:r>
      <w:bookmarkEnd w:id="19"/>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A efectos de la Memoria, se consideran cargas administrativas aquellas actividades de naturaleza administrativa que deben llevar a cabo las empresas y ciudadanos para cumplir con las obligaciones derivadas de la normativa. Dentro de esta definición se entienden incluidas aquellas actividades voluntarias de naturaleza administrativa derivadas de una diligente gestión </w:t>
      </w:r>
      <w:r w:rsidRPr="007E652E">
        <w:rPr>
          <w:rFonts w:ascii="Arial" w:eastAsia="Times New Roman" w:hAnsi="Arial" w:cs="Arial"/>
          <w:sz w:val="24"/>
          <w:szCs w:val="24"/>
          <w:lang w:eastAsia="es-ES"/>
        </w:rPr>
        <w:lastRenderedPageBreak/>
        <w:t>empresarial (solicitud de subvenciones, inscripción en registros voluntarios, solicitudes de claves de servicio…).</w:t>
      </w:r>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En el caso de las empresas, las cargas administrativas son los costes que aquéllas deben soportar para cumplir las obligaciones de facilitar, conservar o generar información sobre sus actividades o su producción, para su puesta a disposición y aprobación, en su caso, por parte de autoridades públicas o terceros, y constituyen un subconjunto de los costes administrativos de las empresas, ya que éstos engloban también, además de las cargas, las actividades administrativas que las empresas continuarían realizando si se derogase la normativa.</w:t>
      </w:r>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Por tanto, este proyecto no afecta a las cargas administrativas.</w:t>
      </w:r>
    </w:p>
    <w:p w:rsidR="00A75C90" w:rsidRPr="007E652E" w:rsidRDefault="000D2FF1" w:rsidP="00DB4BE4">
      <w:pPr>
        <w:pStyle w:val="Ttulo2"/>
        <w:jc w:val="center"/>
        <w:rPr>
          <w:i w:val="0"/>
        </w:rPr>
      </w:pPr>
      <w:bookmarkStart w:id="20" w:name="_Toc511982528"/>
      <w:r w:rsidRPr="007E652E">
        <w:rPr>
          <w:i w:val="0"/>
        </w:rPr>
        <w:t>3.5</w:t>
      </w:r>
      <w:r w:rsidR="00A75C90" w:rsidRPr="007E652E">
        <w:rPr>
          <w:i w:val="0"/>
        </w:rPr>
        <w:t xml:space="preserve"> Impacto por razón de género.</w:t>
      </w:r>
      <w:bookmarkEnd w:id="20"/>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En todos aquellos casos en los que la norma propuesta pueda tener efectos, directos o indirectos, sobre personas físicas, se realizará una previsión sobre los resultados de la aplicación de la misma y se analizarán sus efectos para los hombres y mujeres que sean sus potenciales destinatarios.</w:t>
      </w:r>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La valoración del impacto de género calificará los resultados previstos en relación con la eliminación de desigualdades entre mujeres y hombres y el cumplimiento de los objetivos de políticas de igualdad.</w:t>
      </w:r>
    </w:p>
    <w:p w:rsidR="00A75C90" w:rsidRPr="007E652E" w:rsidRDefault="00A75C90"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En este sentido, se considera que </w:t>
      </w:r>
      <w:r w:rsidR="005826E8" w:rsidRPr="007E652E">
        <w:rPr>
          <w:rFonts w:ascii="Arial" w:eastAsia="Times New Roman" w:hAnsi="Arial" w:cs="Arial"/>
          <w:sz w:val="24"/>
          <w:szCs w:val="24"/>
          <w:lang w:eastAsia="es-ES"/>
        </w:rPr>
        <w:t xml:space="preserve">el </w:t>
      </w:r>
      <w:r w:rsidRPr="007E652E">
        <w:rPr>
          <w:rFonts w:ascii="Arial" w:eastAsia="Times New Roman" w:hAnsi="Arial" w:cs="Arial"/>
          <w:sz w:val="24"/>
          <w:szCs w:val="24"/>
          <w:lang w:eastAsia="es-ES"/>
        </w:rPr>
        <w:t>impacto por razón de género</w:t>
      </w:r>
      <w:r w:rsidR="005826E8" w:rsidRPr="007E652E">
        <w:rPr>
          <w:rFonts w:ascii="Arial" w:eastAsia="Times New Roman" w:hAnsi="Arial" w:cs="Arial"/>
          <w:sz w:val="24"/>
          <w:szCs w:val="24"/>
          <w:lang w:eastAsia="es-ES"/>
        </w:rPr>
        <w:t xml:space="preserve"> de este </w:t>
      </w:r>
      <w:r w:rsidR="00D340FD" w:rsidRPr="007E652E">
        <w:rPr>
          <w:rFonts w:ascii="Arial" w:eastAsia="Times New Roman" w:hAnsi="Arial" w:cs="Arial"/>
          <w:sz w:val="24"/>
          <w:szCs w:val="24"/>
          <w:lang w:eastAsia="es-ES"/>
        </w:rPr>
        <w:t>a</w:t>
      </w:r>
      <w:r w:rsidR="005826E8" w:rsidRPr="007E652E">
        <w:rPr>
          <w:rFonts w:ascii="Arial" w:eastAsia="Times New Roman" w:hAnsi="Arial" w:cs="Arial"/>
          <w:sz w:val="24"/>
          <w:szCs w:val="24"/>
          <w:lang w:eastAsia="es-ES"/>
        </w:rPr>
        <w:t>nteproyecto es nulo.</w:t>
      </w:r>
      <w:r w:rsidRPr="007E652E">
        <w:rPr>
          <w:rFonts w:ascii="Arial" w:eastAsia="Times New Roman" w:hAnsi="Arial" w:cs="Arial"/>
          <w:sz w:val="24"/>
          <w:szCs w:val="24"/>
          <w:lang w:eastAsia="es-ES"/>
        </w:rPr>
        <w:t xml:space="preserve"> </w:t>
      </w:r>
    </w:p>
    <w:p w:rsidR="000D2FF1" w:rsidRPr="007E652E" w:rsidRDefault="000D2FF1" w:rsidP="00DB4BE4">
      <w:pPr>
        <w:pStyle w:val="Ttulo2"/>
        <w:jc w:val="center"/>
        <w:rPr>
          <w:i w:val="0"/>
        </w:rPr>
      </w:pPr>
      <w:bookmarkStart w:id="21" w:name="_Toc511982529"/>
      <w:r w:rsidRPr="007E652E">
        <w:rPr>
          <w:i w:val="0"/>
        </w:rPr>
        <w:t>3.6 Otros impactos</w:t>
      </w:r>
      <w:bookmarkEnd w:id="21"/>
    </w:p>
    <w:p w:rsidR="000D2FF1" w:rsidRPr="007E652E" w:rsidRDefault="000D2FF1" w:rsidP="000D2FF1">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lang w:eastAsia="es-ES"/>
        </w:rPr>
        <w:tab/>
        <w:t xml:space="preserve">El objetivo de la norma, coincidente con el de la </w:t>
      </w:r>
      <w:r w:rsidR="00B00F84">
        <w:rPr>
          <w:rFonts w:ascii="Arial" w:eastAsia="Times New Roman" w:hAnsi="Arial" w:cs="Arial"/>
          <w:sz w:val="24"/>
          <w:szCs w:val="24"/>
          <w:lang w:eastAsia="es-ES"/>
        </w:rPr>
        <w:t>D</w:t>
      </w:r>
      <w:r w:rsidRPr="007E652E">
        <w:rPr>
          <w:rFonts w:ascii="Arial" w:eastAsia="Times New Roman" w:hAnsi="Arial" w:cs="Arial"/>
          <w:sz w:val="24"/>
          <w:szCs w:val="24"/>
        </w:rPr>
        <w:t>irectiva (UE) 2016/943</w:t>
      </w:r>
      <w:r w:rsidRPr="007E652E">
        <w:rPr>
          <w:rFonts w:ascii="Arial" w:hAnsi="Arial" w:cs="Arial"/>
          <w:sz w:val="24"/>
          <w:szCs w:val="24"/>
        </w:rPr>
        <w:t xml:space="preserve"> </w:t>
      </w:r>
      <w:r w:rsidRPr="007E652E">
        <w:rPr>
          <w:rFonts w:ascii="Arial" w:eastAsia="Times New Roman" w:hAnsi="Arial" w:cs="Arial"/>
          <w:sz w:val="24"/>
          <w:szCs w:val="24"/>
          <w:lang w:val="es-ES_tradnl" w:eastAsia="es-ES"/>
        </w:rPr>
        <w:t xml:space="preserve"> que transpone, </w:t>
      </w:r>
      <w:r w:rsidR="003620A4" w:rsidRPr="007E652E">
        <w:rPr>
          <w:rFonts w:ascii="Arial" w:eastAsia="Times New Roman" w:hAnsi="Arial" w:cs="Arial"/>
          <w:sz w:val="24"/>
          <w:szCs w:val="24"/>
          <w:lang w:val="es-ES_tradnl" w:eastAsia="es-ES"/>
        </w:rPr>
        <w:t>busca en síntesis</w:t>
      </w:r>
      <w:r w:rsidR="003620A4" w:rsidRPr="007E652E">
        <w:rPr>
          <w:rFonts w:ascii="Arial" w:eastAsia="Times New Roman" w:hAnsi="Arial" w:cs="Arial"/>
          <w:sz w:val="24"/>
          <w:szCs w:val="24"/>
        </w:rPr>
        <w:t xml:space="preserve"> fomentar la competitividad de las empresas y organismos de investigación cuando encuentran entre sus activos información empresarial no divulgada y “saber hacer”, sin que ello tenga repercusiones específicas de carácter social o medioambiental o impactos en materia de igualdad de oportunidades, no discriminación y accesibilidad universal d</w:t>
      </w:r>
      <w:r w:rsidR="000140CF" w:rsidRPr="007E652E">
        <w:rPr>
          <w:rFonts w:ascii="Arial" w:eastAsia="Times New Roman" w:hAnsi="Arial" w:cs="Arial"/>
          <w:sz w:val="24"/>
          <w:szCs w:val="24"/>
        </w:rPr>
        <w:t xml:space="preserve">e las personas con discapacidad, de acuerdo con el art. </w:t>
      </w:r>
      <w:r w:rsidR="00232465" w:rsidRPr="007E652E">
        <w:rPr>
          <w:rFonts w:ascii="Arial" w:eastAsia="Times New Roman" w:hAnsi="Arial" w:cs="Arial"/>
          <w:sz w:val="24"/>
          <w:szCs w:val="24"/>
        </w:rPr>
        <w:t xml:space="preserve">2.1.g) del Real Decreto </w:t>
      </w:r>
      <w:r w:rsidR="00232465" w:rsidRPr="007E652E">
        <w:rPr>
          <w:rFonts w:ascii="Arial" w:eastAsia="Times New Roman" w:hAnsi="Arial" w:cs="Arial"/>
          <w:sz w:val="24"/>
          <w:szCs w:val="24"/>
        </w:rPr>
        <w:lastRenderedPageBreak/>
        <w:t>931/2017,</w:t>
      </w:r>
      <w:r w:rsidR="000140CF" w:rsidRPr="007E652E">
        <w:rPr>
          <w:rFonts w:ascii="Arial" w:eastAsia="Times New Roman" w:hAnsi="Arial" w:cs="Arial"/>
          <w:sz w:val="24"/>
          <w:szCs w:val="24"/>
        </w:rPr>
        <w:t xml:space="preserve"> de 27 de octubre, por el que se regula la Memoria del Análisis de Impacto Normativo.</w:t>
      </w:r>
    </w:p>
    <w:p w:rsidR="000140CF" w:rsidRPr="007E652E" w:rsidRDefault="000140CF" w:rsidP="000140CF">
      <w:pPr>
        <w:spacing w:before="240" w:after="240" w:line="360" w:lineRule="auto"/>
        <w:jc w:val="both"/>
        <w:rPr>
          <w:rFonts w:ascii="Arial" w:eastAsia="Times New Roman" w:hAnsi="Arial" w:cs="Arial"/>
          <w:sz w:val="24"/>
          <w:szCs w:val="24"/>
        </w:rPr>
      </w:pPr>
      <w:r w:rsidRPr="007E652E">
        <w:rPr>
          <w:rFonts w:ascii="Arial" w:eastAsia="Times New Roman" w:hAnsi="Arial" w:cs="Arial"/>
          <w:sz w:val="24"/>
          <w:szCs w:val="24"/>
        </w:rPr>
        <w:tab/>
        <w:t xml:space="preserve">Por su parte, en cuanto al </w:t>
      </w:r>
      <w:r w:rsidRPr="007E652E">
        <w:rPr>
          <w:rFonts w:ascii="Arial" w:eastAsia="Times New Roman" w:hAnsi="Arial" w:cs="Arial"/>
          <w:b/>
          <w:sz w:val="24"/>
          <w:szCs w:val="24"/>
          <w:u w:val="single"/>
        </w:rPr>
        <w:t>impacto en la familia</w:t>
      </w:r>
      <w:r w:rsidRPr="007E652E">
        <w:rPr>
          <w:rFonts w:ascii="Arial" w:eastAsia="Times New Roman" w:hAnsi="Arial" w:cs="Arial"/>
          <w:sz w:val="24"/>
          <w:szCs w:val="24"/>
        </w:rPr>
        <w:t xml:space="preserve">, de acuerdo con lo previsto en la disposición adicional décima de la Ley 40/2003, de 18 de noviembre, de protección a las familias numerosas, se considera que este </w:t>
      </w:r>
      <w:r w:rsidR="005323F5" w:rsidRPr="007E652E">
        <w:rPr>
          <w:rFonts w:ascii="Arial" w:eastAsia="Times New Roman" w:hAnsi="Arial" w:cs="Arial"/>
          <w:sz w:val="24"/>
          <w:szCs w:val="24"/>
        </w:rPr>
        <w:t>a</w:t>
      </w:r>
      <w:r w:rsidRPr="007E652E">
        <w:rPr>
          <w:rFonts w:ascii="Arial" w:eastAsia="Times New Roman" w:hAnsi="Arial" w:cs="Arial"/>
          <w:sz w:val="24"/>
          <w:szCs w:val="24"/>
        </w:rPr>
        <w:t xml:space="preserve">nteproyecto tiene </w:t>
      </w:r>
      <w:r w:rsidR="005323F5" w:rsidRPr="007E652E">
        <w:rPr>
          <w:rFonts w:ascii="Arial" w:eastAsia="Times New Roman" w:hAnsi="Arial" w:cs="Arial"/>
          <w:sz w:val="24"/>
          <w:szCs w:val="24"/>
        </w:rPr>
        <w:t xml:space="preserve">un </w:t>
      </w:r>
      <w:r w:rsidRPr="007E652E">
        <w:rPr>
          <w:rFonts w:ascii="Arial" w:eastAsia="Times New Roman" w:hAnsi="Arial" w:cs="Arial"/>
          <w:sz w:val="24"/>
          <w:szCs w:val="24"/>
        </w:rPr>
        <w:t>impac</w:t>
      </w:r>
      <w:r w:rsidR="005323F5" w:rsidRPr="007E652E">
        <w:rPr>
          <w:rFonts w:ascii="Arial" w:eastAsia="Times New Roman" w:hAnsi="Arial" w:cs="Arial"/>
          <w:sz w:val="24"/>
          <w:szCs w:val="24"/>
        </w:rPr>
        <w:t xml:space="preserve">to por razón de la familia </w:t>
      </w:r>
      <w:r w:rsidR="005323F5" w:rsidRPr="007E652E">
        <w:rPr>
          <w:rFonts w:ascii="Arial" w:eastAsia="Times New Roman" w:hAnsi="Arial" w:cs="Arial"/>
          <w:b/>
          <w:sz w:val="24"/>
          <w:szCs w:val="24"/>
        </w:rPr>
        <w:t>nulo</w:t>
      </w:r>
      <w:r w:rsidRPr="007E652E">
        <w:rPr>
          <w:rFonts w:ascii="Arial" w:eastAsia="Times New Roman" w:hAnsi="Arial" w:cs="Arial"/>
          <w:b/>
          <w:sz w:val="24"/>
          <w:szCs w:val="24"/>
        </w:rPr>
        <w:t>.</w:t>
      </w:r>
    </w:p>
    <w:p w:rsidR="009454B4" w:rsidRPr="007E652E" w:rsidRDefault="009454B4" w:rsidP="009454B4">
      <w:pPr>
        <w:spacing w:before="240" w:after="240" w:line="360" w:lineRule="auto"/>
        <w:jc w:val="both"/>
        <w:rPr>
          <w:rFonts w:ascii="Arial" w:eastAsia="Times New Roman" w:hAnsi="Arial" w:cs="Arial"/>
          <w:sz w:val="24"/>
          <w:szCs w:val="24"/>
          <w:lang w:eastAsia="es-ES"/>
        </w:rPr>
      </w:pPr>
      <w:r w:rsidRPr="007E652E">
        <w:rPr>
          <w:rFonts w:ascii="Arial" w:eastAsia="Times New Roman" w:hAnsi="Arial" w:cs="Arial"/>
          <w:sz w:val="24"/>
          <w:szCs w:val="24"/>
        </w:rPr>
        <w:tab/>
        <w:t xml:space="preserve">Asimismo, por lo que se refiere al </w:t>
      </w:r>
      <w:r w:rsidRPr="007E652E">
        <w:rPr>
          <w:rFonts w:ascii="Arial" w:eastAsia="Times New Roman" w:hAnsi="Arial" w:cs="Arial"/>
          <w:b/>
          <w:sz w:val="24"/>
          <w:szCs w:val="24"/>
          <w:u w:val="single"/>
        </w:rPr>
        <w:t>impacto en la infancia</w:t>
      </w:r>
      <w:r w:rsidRPr="007E652E">
        <w:rPr>
          <w:rFonts w:ascii="Arial" w:eastAsia="Times New Roman" w:hAnsi="Arial" w:cs="Arial"/>
          <w:sz w:val="24"/>
          <w:szCs w:val="24"/>
        </w:rPr>
        <w:t xml:space="preserve">, exigido en el artículo 22 </w:t>
      </w:r>
      <w:proofErr w:type="spellStart"/>
      <w:r w:rsidRPr="007E652E">
        <w:rPr>
          <w:rFonts w:ascii="Arial" w:eastAsia="Times New Roman" w:hAnsi="Arial" w:cs="Arial"/>
          <w:sz w:val="24"/>
          <w:szCs w:val="24"/>
        </w:rPr>
        <w:t>quinquies</w:t>
      </w:r>
      <w:proofErr w:type="spellEnd"/>
      <w:r w:rsidRPr="007E652E">
        <w:rPr>
          <w:rFonts w:ascii="Arial" w:eastAsia="Times New Roman" w:hAnsi="Arial" w:cs="Arial"/>
          <w:sz w:val="24"/>
          <w:szCs w:val="24"/>
        </w:rPr>
        <w:t xml:space="preserve"> de la Ley Orgánica 1/1996, de 15 de enero, de Protección Jurídica del Menor, se considera que este </w:t>
      </w:r>
      <w:r w:rsidR="005323F5" w:rsidRPr="007E652E">
        <w:rPr>
          <w:rFonts w:ascii="Arial" w:eastAsia="Times New Roman" w:hAnsi="Arial" w:cs="Arial"/>
          <w:sz w:val="24"/>
          <w:szCs w:val="24"/>
        </w:rPr>
        <w:t>a</w:t>
      </w:r>
      <w:r w:rsidRPr="007E652E">
        <w:rPr>
          <w:rFonts w:ascii="Arial" w:eastAsia="Times New Roman" w:hAnsi="Arial" w:cs="Arial"/>
          <w:sz w:val="24"/>
          <w:szCs w:val="24"/>
        </w:rPr>
        <w:t xml:space="preserve">nteproyecto tiene igualmente </w:t>
      </w:r>
      <w:r w:rsidR="005323F5" w:rsidRPr="007E652E">
        <w:rPr>
          <w:rFonts w:ascii="Arial" w:eastAsia="Times New Roman" w:hAnsi="Arial" w:cs="Arial"/>
          <w:sz w:val="24"/>
          <w:szCs w:val="24"/>
        </w:rPr>
        <w:t xml:space="preserve">un </w:t>
      </w:r>
      <w:r w:rsidRPr="007E652E">
        <w:rPr>
          <w:rFonts w:ascii="Arial" w:eastAsia="Times New Roman" w:hAnsi="Arial" w:cs="Arial"/>
          <w:sz w:val="24"/>
          <w:szCs w:val="24"/>
        </w:rPr>
        <w:t xml:space="preserve">impacto </w:t>
      </w:r>
      <w:r w:rsidRPr="007E652E">
        <w:rPr>
          <w:rFonts w:ascii="Arial" w:eastAsia="Times New Roman" w:hAnsi="Arial" w:cs="Arial"/>
          <w:b/>
          <w:sz w:val="24"/>
          <w:szCs w:val="24"/>
        </w:rPr>
        <w:t>nulo</w:t>
      </w:r>
      <w:r w:rsidRPr="007E652E">
        <w:rPr>
          <w:rFonts w:ascii="Arial" w:eastAsia="Times New Roman" w:hAnsi="Arial" w:cs="Arial"/>
          <w:sz w:val="24"/>
          <w:szCs w:val="24"/>
        </w:rPr>
        <w:t>.</w:t>
      </w:r>
    </w:p>
    <w:p w:rsidR="00A75C90" w:rsidRPr="007E652E" w:rsidRDefault="00A75C90" w:rsidP="006A508E">
      <w:pPr>
        <w:spacing w:before="240" w:after="240" w:line="360" w:lineRule="auto"/>
        <w:jc w:val="both"/>
        <w:rPr>
          <w:rFonts w:ascii="Arial" w:eastAsia="Times New Roman" w:hAnsi="Arial" w:cs="Arial"/>
          <w:sz w:val="24"/>
          <w:szCs w:val="24"/>
          <w:lang w:eastAsia="es-ES"/>
        </w:rPr>
      </w:pPr>
    </w:p>
    <w:p w:rsidR="00F7415C" w:rsidRPr="007E652E" w:rsidRDefault="00A75C90" w:rsidP="00DB4BE4">
      <w:pPr>
        <w:pStyle w:val="Ttulo1"/>
        <w:rPr>
          <w:szCs w:val="24"/>
          <w:u w:val="single"/>
        </w:rPr>
      </w:pPr>
      <w:bookmarkStart w:id="22" w:name="_Toc511982530"/>
      <w:r w:rsidRPr="007E652E">
        <w:rPr>
          <w:szCs w:val="24"/>
          <w:u w:val="single"/>
        </w:rPr>
        <w:t>4. DESCRIPCIÓN DE LA TRAMITACIÓN Y CONSULTAS</w:t>
      </w:r>
      <w:bookmarkEnd w:id="22"/>
    </w:p>
    <w:p w:rsidR="00412A5E" w:rsidRPr="007E652E" w:rsidRDefault="00412A5E"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 xml:space="preserve">Por Orden de 31 de marzo de 2017 </w:t>
      </w:r>
      <w:r w:rsidR="00995050" w:rsidRPr="007E652E">
        <w:rPr>
          <w:rFonts w:ascii="Arial" w:eastAsia="Times New Roman" w:hAnsi="Arial" w:cs="Arial"/>
          <w:sz w:val="24"/>
          <w:szCs w:val="24"/>
          <w:lang w:eastAsia="es-ES"/>
        </w:rPr>
        <w:t xml:space="preserve">fue </w:t>
      </w:r>
      <w:r w:rsidRPr="007E652E">
        <w:rPr>
          <w:rFonts w:ascii="Arial" w:eastAsia="Times New Roman" w:hAnsi="Arial" w:cs="Arial"/>
          <w:sz w:val="24"/>
          <w:szCs w:val="24"/>
          <w:lang w:eastAsia="es-ES"/>
        </w:rPr>
        <w:t xml:space="preserve">constituida en el seno de la Sección de Mercantil de la </w:t>
      </w:r>
      <w:r w:rsidR="004E499E" w:rsidRPr="007E652E">
        <w:rPr>
          <w:rFonts w:ascii="Arial" w:eastAsia="Times New Roman" w:hAnsi="Arial" w:cs="Arial"/>
          <w:sz w:val="24"/>
          <w:szCs w:val="24"/>
          <w:lang w:eastAsia="es-ES"/>
        </w:rPr>
        <w:t>Comisión</w:t>
      </w:r>
      <w:r w:rsidRPr="007E652E">
        <w:rPr>
          <w:rFonts w:ascii="Arial" w:eastAsia="Times New Roman" w:hAnsi="Arial" w:cs="Arial"/>
          <w:sz w:val="24"/>
          <w:szCs w:val="24"/>
          <w:lang w:eastAsia="es-ES"/>
        </w:rPr>
        <w:t xml:space="preserve"> General de Codificación</w:t>
      </w:r>
      <w:r w:rsidR="004E499E" w:rsidRPr="007E652E">
        <w:rPr>
          <w:rFonts w:ascii="Arial" w:eastAsia="Times New Roman" w:hAnsi="Arial" w:cs="Arial"/>
          <w:sz w:val="24"/>
          <w:szCs w:val="24"/>
          <w:lang w:eastAsia="es-ES"/>
        </w:rPr>
        <w:t xml:space="preserve"> una ponencia para la transposición de la </w:t>
      </w:r>
      <w:r w:rsidR="00B00F84">
        <w:rPr>
          <w:rFonts w:ascii="Arial" w:eastAsia="Times New Roman" w:hAnsi="Arial" w:cs="Arial"/>
          <w:sz w:val="24"/>
          <w:szCs w:val="24"/>
          <w:lang w:eastAsia="es-ES"/>
        </w:rPr>
        <w:t>D</w:t>
      </w:r>
      <w:r w:rsidR="004E499E" w:rsidRPr="007E652E">
        <w:rPr>
          <w:rFonts w:ascii="Arial" w:eastAsia="Times New Roman" w:hAnsi="Arial" w:cs="Arial"/>
          <w:sz w:val="24"/>
          <w:szCs w:val="24"/>
          <w:lang w:eastAsia="es-ES"/>
        </w:rPr>
        <w:t>irectiva (UE) 2016/943</w:t>
      </w:r>
      <w:r w:rsidR="00794FAD" w:rsidRPr="007E652E">
        <w:rPr>
          <w:rFonts w:ascii="Arial" w:eastAsia="Times New Roman" w:hAnsi="Arial" w:cs="Arial"/>
          <w:sz w:val="24"/>
          <w:szCs w:val="24"/>
          <w:lang w:eastAsia="es-ES"/>
        </w:rPr>
        <w:t>. Por Orden de 20 de octubre</w:t>
      </w:r>
      <w:r w:rsidR="00CF7AEB" w:rsidRPr="007E652E">
        <w:rPr>
          <w:rFonts w:ascii="Arial" w:eastAsia="Times New Roman" w:hAnsi="Arial" w:cs="Arial"/>
          <w:sz w:val="24"/>
          <w:szCs w:val="24"/>
          <w:lang w:eastAsia="es-ES"/>
        </w:rPr>
        <w:t xml:space="preserve"> 2017</w:t>
      </w:r>
      <w:r w:rsidR="00995050" w:rsidRPr="007E652E">
        <w:rPr>
          <w:rFonts w:ascii="Arial" w:eastAsia="Times New Roman" w:hAnsi="Arial" w:cs="Arial"/>
          <w:sz w:val="24"/>
          <w:szCs w:val="24"/>
          <w:lang w:eastAsia="es-ES"/>
        </w:rPr>
        <w:t xml:space="preserve"> se prorrogó</w:t>
      </w:r>
      <w:r w:rsidR="00794FAD" w:rsidRPr="007E652E">
        <w:rPr>
          <w:rFonts w:ascii="Arial" w:eastAsia="Times New Roman" w:hAnsi="Arial" w:cs="Arial"/>
          <w:sz w:val="24"/>
          <w:szCs w:val="24"/>
          <w:lang w:eastAsia="es-ES"/>
        </w:rPr>
        <w:t xml:space="preserve"> el plazo </w:t>
      </w:r>
      <w:r w:rsidR="00CF7AEB" w:rsidRPr="007E652E">
        <w:rPr>
          <w:rFonts w:ascii="Arial" w:eastAsia="Times New Roman" w:hAnsi="Arial" w:cs="Arial"/>
          <w:sz w:val="24"/>
          <w:szCs w:val="24"/>
          <w:lang w:eastAsia="es-ES"/>
        </w:rPr>
        <w:t>concedido para la</w:t>
      </w:r>
      <w:r w:rsidR="00794FAD" w:rsidRPr="007E652E">
        <w:rPr>
          <w:rFonts w:ascii="Arial" w:eastAsia="Times New Roman" w:hAnsi="Arial" w:cs="Arial"/>
          <w:sz w:val="24"/>
          <w:szCs w:val="24"/>
          <w:lang w:eastAsia="es-ES"/>
        </w:rPr>
        <w:t xml:space="preserve"> finalización de los trabajos de la Ponencia</w:t>
      </w:r>
      <w:r w:rsidR="00CF7AEB" w:rsidRPr="007E652E">
        <w:rPr>
          <w:rFonts w:ascii="Arial" w:eastAsia="Times New Roman" w:hAnsi="Arial" w:cs="Arial"/>
          <w:sz w:val="24"/>
          <w:szCs w:val="24"/>
          <w:lang w:eastAsia="es-ES"/>
        </w:rPr>
        <w:t>. Finalmente</w:t>
      </w:r>
      <w:r w:rsidR="004E499E" w:rsidRPr="007E652E">
        <w:rPr>
          <w:rFonts w:ascii="Arial" w:eastAsia="Times New Roman" w:hAnsi="Arial" w:cs="Arial"/>
          <w:sz w:val="24"/>
          <w:szCs w:val="24"/>
          <w:lang w:eastAsia="es-ES"/>
        </w:rPr>
        <w:t xml:space="preserve">, </w:t>
      </w:r>
      <w:r w:rsidR="00CF7AEB" w:rsidRPr="007E652E">
        <w:rPr>
          <w:rFonts w:ascii="Arial" w:eastAsia="Times New Roman" w:hAnsi="Arial" w:cs="Arial"/>
          <w:sz w:val="24"/>
          <w:szCs w:val="24"/>
          <w:lang w:eastAsia="es-ES"/>
        </w:rPr>
        <w:t xml:space="preserve">dicha Ponencia </w:t>
      </w:r>
      <w:r w:rsidR="004E499E" w:rsidRPr="007E652E">
        <w:rPr>
          <w:rFonts w:ascii="Arial" w:eastAsia="Times New Roman" w:hAnsi="Arial" w:cs="Arial"/>
          <w:sz w:val="24"/>
          <w:szCs w:val="24"/>
          <w:lang w:eastAsia="es-ES"/>
        </w:rPr>
        <w:t>ha cumplido debidamente el encargo</w:t>
      </w:r>
      <w:r w:rsidR="00CF7AEB" w:rsidRPr="007E652E">
        <w:rPr>
          <w:rFonts w:ascii="Arial" w:eastAsia="Times New Roman" w:hAnsi="Arial" w:cs="Arial"/>
          <w:sz w:val="24"/>
          <w:szCs w:val="24"/>
          <w:lang w:eastAsia="es-ES"/>
        </w:rPr>
        <w:t xml:space="preserve"> realizado por el Ministerio, enviando un texto articulado de anteproyecto de ley sobre protección de los secretos empresariales</w:t>
      </w:r>
      <w:r w:rsidR="004E499E" w:rsidRPr="007E652E">
        <w:rPr>
          <w:rFonts w:ascii="Arial" w:eastAsia="Times New Roman" w:hAnsi="Arial" w:cs="Arial"/>
          <w:sz w:val="24"/>
          <w:szCs w:val="24"/>
          <w:lang w:eastAsia="es-ES"/>
        </w:rPr>
        <w:t xml:space="preserve"> con fecha 3</w:t>
      </w:r>
      <w:r w:rsidR="00014A37" w:rsidRPr="007E652E">
        <w:rPr>
          <w:rFonts w:ascii="Arial" w:eastAsia="Times New Roman" w:hAnsi="Arial" w:cs="Arial"/>
          <w:sz w:val="24"/>
          <w:szCs w:val="24"/>
          <w:lang w:eastAsia="es-ES"/>
        </w:rPr>
        <w:t>0</w:t>
      </w:r>
      <w:r w:rsidR="00CF7AEB" w:rsidRPr="007E652E">
        <w:rPr>
          <w:rFonts w:ascii="Arial" w:eastAsia="Times New Roman" w:hAnsi="Arial" w:cs="Arial"/>
          <w:sz w:val="24"/>
          <w:szCs w:val="24"/>
          <w:lang w:eastAsia="es-ES"/>
        </w:rPr>
        <w:t xml:space="preserve"> de noviembre de </w:t>
      </w:r>
      <w:r w:rsidR="004E499E" w:rsidRPr="007E652E">
        <w:rPr>
          <w:rFonts w:ascii="Arial" w:eastAsia="Times New Roman" w:hAnsi="Arial" w:cs="Arial"/>
          <w:sz w:val="24"/>
          <w:szCs w:val="24"/>
          <w:lang w:eastAsia="es-ES"/>
        </w:rPr>
        <w:t>2017.</w:t>
      </w:r>
    </w:p>
    <w:p w:rsidR="00E167A3" w:rsidRPr="007E652E" w:rsidRDefault="00E167A3"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Conforme al art</w:t>
      </w:r>
      <w:r w:rsidR="00FD5C8B" w:rsidRPr="007E652E">
        <w:rPr>
          <w:rFonts w:ascii="Arial" w:eastAsia="Times New Roman" w:hAnsi="Arial" w:cs="Arial"/>
          <w:sz w:val="24"/>
          <w:szCs w:val="24"/>
          <w:lang w:eastAsia="es-ES"/>
        </w:rPr>
        <w:t xml:space="preserve">ículo </w:t>
      </w:r>
      <w:r w:rsidRPr="007E652E">
        <w:rPr>
          <w:rFonts w:ascii="Arial" w:eastAsia="Times New Roman" w:hAnsi="Arial" w:cs="Arial"/>
          <w:sz w:val="24"/>
          <w:szCs w:val="24"/>
          <w:lang w:eastAsia="es-ES"/>
        </w:rPr>
        <w:t>2</w:t>
      </w:r>
      <w:r w:rsidR="00FD5C8B" w:rsidRPr="007E652E">
        <w:rPr>
          <w:rFonts w:ascii="Arial" w:eastAsia="Times New Roman" w:hAnsi="Arial" w:cs="Arial"/>
          <w:sz w:val="24"/>
          <w:szCs w:val="24"/>
          <w:lang w:eastAsia="es-ES"/>
        </w:rPr>
        <w:t>7.1</w:t>
      </w:r>
      <w:r w:rsidRPr="007E652E">
        <w:rPr>
          <w:rFonts w:ascii="Arial" w:eastAsia="Times New Roman" w:hAnsi="Arial" w:cs="Arial"/>
          <w:sz w:val="24"/>
          <w:szCs w:val="24"/>
          <w:lang w:eastAsia="es-ES"/>
        </w:rPr>
        <w:t xml:space="preserve"> de la Ley del Gobierno, </w:t>
      </w:r>
      <w:r w:rsidR="00FD5C8B" w:rsidRPr="007E652E">
        <w:rPr>
          <w:rFonts w:ascii="Arial" w:eastAsia="Times New Roman" w:hAnsi="Arial" w:cs="Arial"/>
          <w:sz w:val="24"/>
          <w:szCs w:val="24"/>
          <w:lang w:eastAsia="es-ES"/>
        </w:rPr>
        <w:t>se solicita</w:t>
      </w:r>
      <w:r w:rsidRPr="007E652E">
        <w:rPr>
          <w:rFonts w:ascii="Arial" w:eastAsia="Times New Roman" w:hAnsi="Arial" w:cs="Arial"/>
          <w:sz w:val="24"/>
          <w:szCs w:val="24"/>
          <w:lang w:eastAsia="es-ES"/>
        </w:rPr>
        <w:t xml:space="preserve"> la aprobación de la presente norma por el </w:t>
      </w:r>
      <w:r w:rsidRPr="007E652E">
        <w:rPr>
          <w:rFonts w:ascii="Arial" w:eastAsia="Times New Roman" w:hAnsi="Arial" w:cs="Arial"/>
          <w:sz w:val="24"/>
          <w:szCs w:val="24"/>
          <w:u w:val="single"/>
          <w:lang w:eastAsia="es-ES"/>
        </w:rPr>
        <w:t>trámite de urgencia</w:t>
      </w:r>
      <w:r w:rsidRPr="007E652E">
        <w:rPr>
          <w:rFonts w:ascii="Arial" w:eastAsia="Times New Roman" w:hAnsi="Arial" w:cs="Arial"/>
          <w:sz w:val="24"/>
          <w:szCs w:val="24"/>
          <w:lang w:eastAsia="es-ES"/>
        </w:rPr>
        <w:t xml:space="preserve"> </w:t>
      </w:r>
      <w:r w:rsidR="00FD5C8B" w:rsidRPr="007E652E">
        <w:rPr>
          <w:rFonts w:ascii="Arial" w:eastAsia="Times New Roman" w:hAnsi="Arial" w:cs="Arial"/>
          <w:sz w:val="24"/>
          <w:szCs w:val="24"/>
          <w:lang w:eastAsia="es-ES"/>
        </w:rPr>
        <w:t>para dar cumplimiento a</w:t>
      </w:r>
      <w:r w:rsidRPr="007E652E">
        <w:rPr>
          <w:rFonts w:ascii="Arial" w:eastAsia="Times New Roman" w:hAnsi="Arial" w:cs="Arial"/>
          <w:sz w:val="24"/>
          <w:szCs w:val="24"/>
          <w:lang w:eastAsia="es-ES"/>
        </w:rPr>
        <w:t xml:space="preserve"> l</w:t>
      </w:r>
      <w:r w:rsidR="00B15837" w:rsidRPr="007E652E">
        <w:rPr>
          <w:rFonts w:ascii="Arial" w:eastAsia="Times New Roman" w:hAnsi="Arial" w:cs="Arial"/>
          <w:sz w:val="24"/>
          <w:szCs w:val="24"/>
          <w:lang w:eastAsia="es-ES"/>
        </w:rPr>
        <w:t xml:space="preserve">a obligada transposición de la </w:t>
      </w:r>
      <w:r w:rsidR="00B00F84">
        <w:rPr>
          <w:rFonts w:ascii="Arial" w:eastAsia="Times New Roman" w:hAnsi="Arial" w:cs="Arial"/>
          <w:sz w:val="24"/>
          <w:szCs w:val="24"/>
          <w:lang w:eastAsia="es-ES"/>
        </w:rPr>
        <w:t>D</w:t>
      </w:r>
      <w:r w:rsidRPr="007E652E">
        <w:rPr>
          <w:rFonts w:ascii="Arial" w:eastAsia="Times New Roman" w:hAnsi="Arial" w:cs="Arial"/>
          <w:sz w:val="24"/>
          <w:szCs w:val="24"/>
          <w:lang w:eastAsia="es-ES"/>
        </w:rPr>
        <w:t xml:space="preserve">irectiva (UE) 2016/943 </w:t>
      </w:r>
      <w:r w:rsidR="00FD5C8B" w:rsidRPr="007E652E">
        <w:rPr>
          <w:rFonts w:ascii="Arial" w:eastAsia="Times New Roman" w:hAnsi="Arial" w:cs="Arial"/>
          <w:sz w:val="24"/>
          <w:szCs w:val="24"/>
          <w:lang w:eastAsia="es-ES"/>
        </w:rPr>
        <w:t xml:space="preserve">antes del </w:t>
      </w:r>
      <w:r w:rsidR="005A203C" w:rsidRPr="007E652E">
        <w:rPr>
          <w:rFonts w:ascii="Arial" w:eastAsia="Times New Roman" w:hAnsi="Arial" w:cs="Arial"/>
          <w:sz w:val="24"/>
          <w:szCs w:val="24"/>
          <w:lang w:eastAsia="es-ES"/>
        </w:rPr>
        <w:t>9</w:t>
      </w:r>
      <w:r w:rsidR="00FD5C8B" w:rsidRPr="007E652E">
        <w:rPr>
          <w:rFonts w:ascii="Arial" w:eastAsia="Times New Roman" w:hAnsi="Arial" w:cs="Arial"/>
          <w:sz w:val="24"/>
          <w:szCs w:val="24"/>
          <w:lang w:eastAsia="es-ES"/>
        </w:rPr>
        <w:t xml:space="preserve"> de junio de 2018, fecha en la que expira el plazo para su transposición. </w:t>
      </w:r>
    </w:p>
    <w:p w:rsidR="00D03F3A" w:rsidRPr="007E652E" w:rsidRDefault="00D03F3A" w:rsidP="00DB4BE4">
      <w:pPr>
        <w:pStyle w:val="Ttulo2"/>
        <w:jc w:val="center"/>
        <w:rPr>
          <w:i w:val="0"/>
        </w:rPr>
      </w:pPr>
      <w:bookmarkStart w:id="23" w:name="_Toc511982531"/>
      <w:r w:rsidRPr="007E652E">
        <w:rPr>
          <w:i w:val="0"/>
        </w:rPr>
        <w:t>4.1 Trámite de consulta pública</w:t>
      </w:r>
      <w:bookmarkEnd w:id="23"/>
    </w:p>
    <w:p w:rsidR="00E30C42" w:rsidRPr="007E652E" w:rsidRDefault="00AD1A58"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Ha sido celebrada la</w:t>
      </w:r>
      <w:r w:rsidR="003D5DB3" w:rsidRPr="007E652E">
        <w:rPr>
          <w:rFonts w:ascii="Arial" w:eastAsia="Times New Roman" w:hAnsi="Arial" w:cs="Arial"/>
          <w:sz w:val="24"/>
          <w:szCs w:val="24"/>
          <w:lang w:eastAsia="es-ES"/>
        </w:rPr>
        <w:t xml:space="preserve"> </w:t>
      </w:r>
      <w:r w:rsidR="00D022A6" w:rsidRPr="007E652E">
        <w:rPr>
          <w:rFonts w:ascii="Arial" w:eastAsia="Times New Roman" w:hAnsi="Arial" w:cs="Arial"/>
          <w:sz w:val="24"/>
          <w:szCs w:val="24"/>
          <w:lang w:eastAsia="es-ES"/>
        </w:rPr>
        <w:t>c</w:t>
      </w:r>
      <w:r w:rsidR="003D5DB3" w:rsidRPr="007E652E">
        <w:rPr>
          <w:rFonts w:ascii="Arial" w:eastAsia="Times New Roman" w:hAnsi="Arial" w:cs="Arial"/>
          <w:sz w:val="24"/>
          <w:szCs w:val="24"/>
          <w:lang w:eastAsia="es-ES"/>
        </w:rPr>
        <w:t xml:space="preserve">onsulta pública previa del artículo 26.2 de la Ley del Gobierno del </w:t>
      </w:r>
      <w:r w:rsidRPr="007E652E">
        <w:rPr>
          <w:rFonts w:ascii="Arial" w:eastAsia="Times New Roman" w:hAnsi="Arial" w:cs="Arial"/>
          <w:sz w:val="24"/>
          <w:szCs w:val="24"/>
          <w:lang w:eastAsia="es-ES"/>
        </w:rPr>
        <w:t>30</w:t>
      </w:r>
      <w:r w:rsidR="003D5DB3"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11</w:t>
      </w:r>
      <w:r w:rsidR="003D5DB3" w:rsidRPr="007E652E">
        <w:rPr>
          <w:rFonts w:ascii="Arial" w:eastAsia="Times New Roman" w:hAnsi="Arial" w:cs="Arial"/>
          <w:sz w:val="24"/>
          <w:szCs w:val="24"/>
          <w:lang w:eastAsia="es-ES"/>
        </w:rPr>
        <w:t>/2017 al 2</w:t>
      </w:r>
      <w:r w:rsidRPr="007E652E">
        <w:rPr>
          <w:rFonts w:ascii="Arial" w:eastAsia="Times New Roman" w:hAnsi="Arial" w:cs="Arial"/>
          <w:sz w:val="24"/>
          <w:szCs w:val="24"/>
          <w:lang w:eastAsia="es-ES"/>
        </w:rPr>
        <w:t>1</w:t>
      </w:r>
      <w:r w:rsidR="003D5DB3"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1</w:t>
      </w:r>
      <w:r w:rsidR="00B828A2" w:rsidRPr="007E652E">
        <w:rPr>
          <w:rFonts w:ascii="Arial" w:eastAsia="Times New Roman" w:hAnsi="Arial" w:cs="Arial"/>
          <w:sz w:val="24"/>
          <w:szCs w:val="24"/>
          <w:lang w:eastAsia="es-ES"/>
        </w:rPr>
        <w:t>2/2017 en la que han sido recibidas</w:t>
      </w:r>
      <w:r w:rsidRPr="007E652E">
        <w:rPr>
          <w:rFonts w:ascii="Arial" w:eastAsia="Times New Roman" w:hAnsi="Arial" w:cs="Arial"/>
          <w:sz w:val="24"/>
          <w:szCs w:val="24"/>
          <w:lang w:eastAsia="es-ES"/>
        </w:rPr>
        <w:t xml:space="preserve"> alegaciones</w:t>
      </w:r>
      <w:r w:rsidR="00165E10" w:rsidRPr="007E652E">
        <w:rPr>
          <w:rFonts w:ascii="Arial" w:eastAsia="Times New Roman" w:hAnsi="Arial" w:cs="Arial"/>
          <w:sz w:val="24"/>
          <w:szCs w:val="24"/>
          <w:lang w:eastAsia="es-ES"/>
        </w:rPr>
        <w:t xml:space="preserve"> de </w:t>
      </w:r>
      <w:r w:rsidRPr="007E652E">
        <w:rPr>
          <w:rFonts w:ascii="Arial" w:eastAsia="Times New Roman" w:hAnsi="Arial" w:cs="Arial"/>
          <w:sz w:val="24"/>
          <w:szCs w:val="24"/>
          <w:lang w:eastAsia="es-ES"/>
        </w:rPr>
        <w:t>UNESPA (18/12/2017)</w:t>
      </w:r>
      <w:r w:rsidR="00165E10" w:rsidRPr="007E652E">
        <w:rPr>
          <w:rFonts w:ascii="Arial" w:eastAsia="Times New Roman" w:hAnsi="Arial" w:cs="Arial"/>
          <w:sz w:val="24"/>
          <w:szCs w:val="24"/>
          <w:lang w:eastAsia="es-ES"/>
        </w:rPr>
        <w:t>;</w:t>
      </w:r>
      <w:r w:rsidRPr="007E652E">
        <w:rPr>
          <w:rFonts w:ascii="Arial" w:eastAsia="Times New Roman" w:hAnsi="Arial" w:cs="Arial"/>
          <w:sz w:val="24"/>
          <w:szCs w:val="24"/>
          <w:lang w:eastAsia="es-ES"/>
        </w:rPr>
        <w:t xml:space="preserve"> Á</w:t>
      </w:r>
      <w:r w:rsidR="00B828A2" w:rsidRPr="007E652E">
        <w:rPr>
          <w:rFonts w:ascii="Arial" w:eastAsia="Times New Roman" w:hAnsi="Arial" w:cs="Arial"/>
          <w:sz w:val="24"/>
          <w:szCs w:val="24"/>
          <w:lang w:eastAsia="es-ES"/>
        </w:rPr>
        <w:t xml:space="preserve">lvaro </w:t>
      </w:r>
      <w:proofErr w:type="spellStart"/>
      <w:r w:rsidR="00B828A2" w:rsidRPr="007E652E">
        <w:rPr>
          <w:rFonts w:ascii="Arial" w:eastAsia="Times New Roman" w:hAnsi="Arial" w:cs="Arial"/>
          <w:sz w:val="24"/>
          <w:szCs w:val="24"/>
          <w:lang w:eastAsia="es-ES"/>
        </w:rPr>
        <w:t>Requeijo</w:t>
      </w:r>
      <w:proofErr w:type="spellEnd"/>
      <w:r w:rsidR="00B828A2" w:rsidRPr="007E652E">
        <w:rPr>
          <w:rFonts w:ascii="Arial" w:eastAsia="Times New Roman" w:hAnsi="Arial" w:cs="Arial"/>
          <w:sz w:val="24"/>
          <w:szCs w:val="24"/>
          <w:lang w:eastAsia="es-ES"/>
        </w:rPr>
        <w:t xml:space="preserve"> Abogados, </w:t>
      </w:r>
      <w:r w:rsidR="00165E10" w:rsidRPr="007E652E">
        <w:rPr>
          <w:rFonts w:ascii="Arial" w:eastAsia="Times New Roman" w:hAnsi="Arial" w:cs="Arial"/>
          <w:sz w:val="24"/>
          <w:szCs w:val="24"/>
          <w:lang w:eastAsia="es-ES"/>
        </w:rPr>
        <w:t xml:space="preserve">S.L.P. (19/12/2017) y </w:t>
      </w:r>
      <w:r w:rsidR="00B828A2" w:rsidRPr="007E652E">
        <w:rPr>
          <w:rFonts w:ascii="Arial" w:eastAsia="Times New Roman" w:hAnsi="Arial" w:cs="Arial"/>
          <w:sz w:val="24"/>
          <w:szCs w:val="24"/>
          <w:lang w:eastAsia="es-ES"/>
        </w:rPr>
        <w:t xml:space="preserve">Asociación de expertos en transferencia de tecnologías </w:t>
      </w:r>
      <w:r w:rsidR="00B828A2" w:rsidRPr="007E652E">
        <w:rPr>
          <w:rFonts w:ascii="Arial" w:eastAsia="Times New Roman" w:hAnsi="Arial" w:cs="Arial"/>
          <w:caps/>
          <w:sz w:val="24"/>
          <w:szCs w:val="24"/>
          <w:lang w:eastAsia="es-ES"/>
        </w:rPr>
        <w:t xml:space="preserve">les </w:t>
      </w:r>
      <w:r w:rsidR="00B828A2" w:rsidRPr="007E652E">
        <w:rPr>
          <w:rFonts w:ascii="Arial" w:eastAsia="Times New Roman" w:hAnsi="Arial" w:cs="Arial"/>
          <w:sz w:val="24"/>
          <w:szCs w:val="24"/>
          <w:lang w:eastAsia="es-ES"/>
        </w:rPr>
        <w:t xml:space="preserve">España-Portugal </w:t>
      </w:r>
      <w:r w:rsidRPr="007E652E">
        <w:rPr>
          <w:rFonts w:ascii="Arial" w:eastAsia="Times New Roman" w:hAnsi="Arial" w:cs="Arial"/>
          <w:sz w:val="24"/>
          <w:szCs w:val="24"/>
          <w:lang w:eastAsia="es-ES"/>
        </w:rPr>
        <w:t>(21/12/2017)</w:t>
      </w:r>
      <w:r w:rsidR="00165E10" w:rsidRPr="007E652E">
        <w:rPr>
          <w:rFonts w:ascii="Arial" w:eastAsia="Times New Roman" w:hAnsi="Arial" w:cs="Arial"/>
          <w:sz w:val="24"/>
          <w:szCs w:val="24"/>
          <w:lang w:eastAsia="es-ES"/>
        </w:rPr>
        <w:t>. L</w:t>
      </w:r>
      <w:r w:rsidR="005A682B" w:rsidRPr="007E652E">
        <w:rPr>
          <w:rFonts w:ascii="Arial" w:eastAsia="Times New Roman" w:hAnsi="Arial" w:cs="Arial"/>
          <w:sz w:val="24"/>
          <w:szCs w:val="24"/>
          <w:lang w:eastAsia="es-ES"/>
        </w:rPr>
        <w:t>o</w:t>
      </w:r>
      <w:r w:rsidR="00165E10" w:rsidRPr="007E652E">
        <w:rPr>
          <w:rFonts w:ascii="Arial" w:eastAsia="Times New Roman" w:hAnsi="Arial" w:cs="Arial"/>
          <w:sz w:val="24"/>
          <w:szCs w:val="24"/>
          <w:lang w:eastAsia="es-ES"/>
        </w:rPr>
        <w:t>s dos primer</w:t>
      </w:r>
      <w:r w:rsidR="005A682B" w:rsidRPr="007E652E">
        <w:rPr>
          <w:rFonts w:ascii="Arial" w:eastAsia="Times New Roman" w:hAnsi="Arial" w:cs="Arial"/>
          <w:sz w:val="24"/>
          <w:szCs w:val="24"/>
          <w:lang w:eastAsia="es-ES"/>
        </w:rPr>
        <w:t>o</w:t>
      </w:r>
      <w:r w:rsidR="00165E10" w:rsidRPr="007E652E">
        <w:rPr>
          <w:rFonts w:ascii="Arial" w:eastAsia="Times New Roman" w:hAnsi="Arial" w:cs="Arial"/>
          <w:sz w:val="24"/>
          <w:szCs w:val="24"/>
          <w:lang w:eastAsia="es-ES"/>
        </w:rPr>
        <w:t>s no formula</w:t>
      </w:r>
      <w:r w:rsidR="005A682B" w:rsidRPr="007E652E">
        <w:rPr>
          <w:rFonts w:ascii="Arial" w:eastAsia="Times New Roman" w:hAnsi="Arial" w:cs="Arial"/>
          <w:sz w:val="24"/>
          <w:szCs w:val="24"/>
          <w:lang w:eastAsia="es-ES"/>
        </w:rPr>
        <w:t xml:space="preserve">n observaciones si </w:t>
      </w:r>
      <w:r w:rsidR="005A682B" w:rsidRPr="007E652E">
        <w:rPr>
          <w:rFonts w:ascii="Arial" w:eastAsia="Times New Roman" w:hAnsi="Arial" w:cs="Arial"/>
          <w:sz w:val="24"/>
          <w:szCs w:val="24"/>
          <w:lang w:eastAsia="es-ES"/>
        </w:rPr>
        <w:lastRenderedPageBreak/>
        <w:t>bien</w:t>
      </w:r>
      <w:r w:rsidR="00165E10" w:rsidRPr="007E652E">
        <w:rPr>
          <w:rFonts w:ascii="Arial" w:eastAsia="Times New Roman" w:hAnsi="Arial" w:cs="Arial"/>
          <w:sz w:val="24"/>
          <w:szCs w:val="24"/>
          <w:lang w:eastAsia="es-ES"/>
        </w:rPr>
        <w:t xml:space="preserve"> la tercera </w:t>
      </w:r>
      <w:r w:rsidRPr="007E652E">
        <w:rPr>
          <w:rFonts w:ascii="Arial" w:eastAsia="Times New Roman" w:hAnsi="Arial" w:cs="Arial"/>
          <w:sz w:val="24"/>
          <w:szCs w:val="24"/>
          <w:lang w:eastAsia="es-ES"/>
        </w:rPr>
        <w:t xml:space="preserve">sugiere que la ley especial aborde </w:t>
      </w:r>
      <w:r w:rsidR="00165E10" w:rsidRPr="007E652E">
        <w:rPr>
          <w:rFonts w:ascii="Arial" w:eastAsia="Times New Roman" w:hAnsi="Arial" w:cs="Arial"/>
          <w:sz w:val="24"/>
          <w:szCs w:val="24"/>
          <w:lang w:eastAsia="es-ES"/>
        </w:rPr>
        <w:t xml:space="preserve">determinadas </w:t>
      </w:r>
      <w:r w:rsidRPr="007E652E">
        <w:rPr>
          <w:rFonts w:ascii="Arial" w:eastAsia="Times New Roman" w:hAnsi="Arial" w:cs="Arial"/>
          <w:sz w:val="24"/>
          <w:szCs w:val="24"/>
          <w:lang w:eastAsia="es-ES"/>
        </w:rPr>
        <w:t xml:space="preserve">cuestiones </w:t>
      </w:r>
      <w:r w:rsidR="005A682B" w:rsidRPr="007E652E">
        <w:rPr>
          <w:rFonts w:ascii="Arial" w:eastAsia="Times New Roman" w:hAnsi="Arial" w:cs="Arial"/>
          <w:sz w:val="24"/>
          <w:szCs w:val="24"/>
          <w:lang w:eastAsia="es-ES"/>
        </w:rPr>
        <w:t xml:space="preserve">y </w:t>
      </w:r>
      <w:r w:rsidR="00B828A2" w:rsidRPr="007E652E">
        <w:rPr>
          <w:rFonts w:ascii="Arial" w:eastAsia="Times New Roman" w:hAnsi="Arial" w:cs="Arial"/>
          <w:sz w:val="24"/>
          <w:szCs w:val="24"/>
          <w:lang w:eastAsia="es-ES"/>
        </w:rPr>
        <w:t>solicita ser consultada una vez haya sido elaborado el anteproyecto de ley</w:t>
      </w:r>
      <w:r w:rsidR="00165E10" w:rsidRPr="007E652E">
        <w:rPr>
          <w:rFonts w:ascii="Arial" w:eastAsia="Times New Roman" w:hAnsi="Arial" w:cs="Arial"/>
          <w:sz w:val="24"/>
          <w:szCs w:val="24"/>
          <w:lang w:eastAsia="es-ES"/>
        </w:rPr>
        <w:t>.</w:t>
      </w:r>
    </w:p>
    <w:p w:rsidR="00BA10AB" w:rsidRPr="007E652E" w:rsidRDefault="00BA10AB" w:rsidP="00BA10AB">
      <w:pPr>
        <w:spacing w:before="240" w:after="240" w:line="360" w:lineRule="auto"/>
        <w:ind w:firstLine="708"/>
        <w:jc w:val="both"/>
        <w:rPr>
          <w:rFonts w:ascii="Arial" w:eastAsia="Times New Roman" w:hAnsi="Arial" w:cs="Arial"/>
          <w:i/>
          <w:sz w:val="24"/>
          <w:szCs w:val="24"/>
          <w:lang w:eastAsia="es-ES"/>
        </w:rPr>
      </w:pPr>
      <w:r w:rsidRPr="007E652E">
        <w:rPr>
          <w:rFonts w:ascii="Arial" w:eastAsia="Times New Roman" w:hAnsi="Arial" w:cs="Arial"/>
          <w:sz w:val="24"/>
          <w:szCs w:val="24"/>
          <w:lang w:eastAsia="es-ES"/>
        </w:rPr>
        <w:t>En concreto, LES España-Portugal aboga por la transposición de la directiva por medio de una ley especial de secretos empresariales que</w:t>
      </w:r>
      <w:r w:rsidRPr="007E652E">
        <w:rPr>
          <w:rFonts w:ascii="Arial" w:eastAsia="Times New Roman" w:hAnsi="Arial" w:cs="Arial"/>
          <w:i/>
          <w:sz w:val="24"/>
          <w:szCs w:val="24"/>
          <w:lang w:eastAsia="es-ES"/>
        </w:rPr>
        <w:t xml:space="preserve"> “aborde las siguientes cuestiones de naturaleza sustantiva y procesal</w:t>
      </w:r>
      <w:r w:rsidR="00B66AB6">
        <w:rPr>
          <w:rFonts w:ascii="Arial" w:eastAsia="Times New Roman" w:hAnsi="Arial" w:cs="Arial"/>
          <w:i/>
          <w:sz w:val="24"/>
          <w:szCs w:val="24"/>
          <w:lang w:eastAsia="es-ES"/>
        </w:rPr>
        <w:t>”</w:t>
      </w:r>
      <w:r w:rsidRPr="007E652E">
        <w:rPr>
          <w:rFonts w:ascii="Arial" w:eastAsia="Times New Roman" w:hAnsi="Arial" w:cs="Arial"/>
          <w:i/>
          <w:sz w:val="24"/>
          <w:szCs w:val="24"/>
          <w:lang w:eastAsia="es-ES"/>
        </w:rPr>
        <w:t>:</w:t>
      </w:r>
    </w:p>
    <w:p w:rsidR="00BA10AB" w:rsidRPr="007E652E" w:rsidRDefault="00BA10AB" w:rsidP="00BA10AB">
      <w:pPr>
        <w:pStyle w:val="Prrafodelista"/>
        <w:numPr>
          <w:ilvl w:val="0"/>
          <w:numId w:val="18"/>
        </w:numPr>
        <w:autoSpaceDE w:val="0"/>
        <w:autoSpaceDN w:val="0"/>
        <w:adjustRightInd w:val="0"/>
        <w:spacing w:line="360" w:lineRule="auto"/>
        <w:jc w:val="both"/>
        <w:rPr>
          <w:rFonts w:cs="Arial"/>
          <w:szCs w:val="24"/>
        </w:rPr>
      </w:pPr>
      <w:r w:rsidRPr="007E652E">
        <w:rPr>
          <w:rFonts w:cs="Arial"/>
          <w:szCs w:val="24"/>
        </w:rPr>
        <w:t xml:space="preserve">Sugiere que se ajuste la definición de la </w:t>
      </w:r>
      <w:r w:rsidR="00B03F78" w:rsidRPr="007E652E">
        <w:rPr>
          <w:rFonts w:cs="Arial"/>
          <w:szCs w:val="24"/>
        </w:rPr>
        <w:t>d</w:t>
      </w:r>
      <w:r w:rsidRPr="007E652E">
        <w:rPr>
          <w:rFonts w:cs="Arial"/>
          <w:szCs w:val="24"/>
        </w:rPr>
        <w:t xml:space="preserve">irectiva a la más conforme con nuestra tradición jurídica de </w:t>
      </w:r>
      <w:r w:rsidRPr="00B32098">
        <w:rPr>
          <w:rFonts w:cs="Arial"/>
          <w:szCs w:val="24"/>
        </w:rPr>
        <w:t>secretos empresariales</w:t>
      </w:r>
      <w:r w:rsidRPr="007E652E">
        <w:rPr>
          <w:rFonts w:cs="Arial"/>
          <w:szCs w:val="24"/>
        </w:rPr>
        <w:t xml:space="preserve"> (comerciales e industriales). </w:t>
      </w:r>
    </w:p>
    <w:p w:rsidR="00BA10AB" w:rsidRPr="007E652E" w:rsidRDefault="00BA10AB" w:rsidP="00BA10AB">
      <w:pPr>
        <w:pStyle w:val="Prrafodelista"/>
        <w:numPr>
          <w:ilvl w:val="0"/>
          <w:numId w:val="18"/>
        </w:numPr>
        <w:autoSpaceDE w:val="0"/>
        <w:autoSpaceDN w:val="0"/>
        <w:adjustRightInd w:val="0"/>
        <w:spacing w:line="360" w:lineRule="auto"/>
        <w:jc w:val="both"/>
        <w:rPr>
          <w:rFonts w:cs="Arial"/>
          <w:szCs w:val="24"/>
        </w:rPr>
      </w:pPr>
      <w:r w:rsidRPr="007E652E">
        <w:rPr>
          <w:rFonts w:cs="Arial"/>
          <w:szCs w:val="24"/>
        </w:rPr>
        <w:t xml:space="preserve">Igualmente, sugiere que la definición de “poseedor de un secreto comercial” de la </w:t>
      </w:r>
      <w:r w:rsidR="00B15837" w:rsidRPr="007E652E">
        <w:rPr>
          <w:rFonts w:cs="Arial"/>
          <w:szCs w:val="24"/>
        </w:rPr>
        <w:t>d</w:t>
      </w:r>
      <w:r w:rsidRPr="007E652E">
        <w:rPr>
          <w:rFonts w:cs="Arial"/>
          <w:szCs w:val="24"/>
        </w:rPr>
        <w:t xml:space="preserve">irectiva, sea la de “titular de un secreto empresarial”. </w:t>
      </w:r>
    </w:p>
    <w:p w:rsidR="00BA10AB" w:rsidRPr="007E652E" w:rsidRDefault="00BA10AB" w:rsidP="00BA10AB">
      <w:pPr>
        <w:pStyle w:val="Prrafodelista"/>
        <w:numPr>
          <w:ilvl w:val="0"/>
          <w:numId w:val="18"/>
        </w:numPr>
        <w:autoSpaceDE w:val="0"/>
        <w:autoSpaceDN w:val="0"/>
        <w:adjustRightInd w:val="0"/>
        <w:spacing w:before="100" w:beforeAutospacing="1" w:after="100" w:afterAutospacing="1" w:line="360" w:lineRule="auto"/>
        <w:ind w:left="708" w:hanging="357"/>
        <w:jc w:val="both"/>
        <w:rPr>
          <w:rFonts w:cs="Arial"/>
          <w:szCs w:val="24"/>
        </w:rPr>
      </w:pPr>
      <w:r w:rsidRPr="007E652E">
        <w:rPr>
          <w:rFonts w:cs="Arial"/>
          <w:szCs w:val="24"/>
        </w:rPr>
        <w:t xml:space="preserve">En cuanto a las “mercancías infractoras” propone hacer referencia expresa a los servicios, junto con las mercancías o productos. </w:t>
      </w:r>
    </w:p>
    <w:p w:rsidR="00BA10AB" w:rsidRPr="007E652E" w:rsidRDefault="00BA10AB" w:rsidP="00BA10AB">
      <w:pPr>
        <w:pStyle w:val="Prrafodelista"/>
        <w:numPr>
          <w:ilvl w:val="0"/>
          <w:numId w:val="18"/>
        </w:numPr>
        <w:autoSpaceDE w:val="0"/>
        <w:autoSpaceDN w:val="0"/>
        <w:adjustRightInd w:val="0"/>
        <w:spacing w:before="100" w:beforeAutospacing="1" w:after="100" w:afterAutospacing="1" w:line="360" w:lineRule="auto"/>
        <w:jc w:val="both"/>
        <w:rPr>
          <w:rFonts w:cs="Arial"/>
          <w:szCs w:val="24"/>
        </w:rPr>
      </w:pPr>
      <w:r w:rsidRPr="007E652E">
        <w:rPr>
          <w:rFonts w:cs="Arial"/>
          <w:szCs w:val="24"/>
        </w:rPr>
        <w:t>En materia</w:t>
      </w:r>
      <w:r w:rsidRPr="007E652E">
        <w:t xml:space="preserve"> </w:t>
      </w:r>
      <w:r w:rsidRPr="007E652E">
        <w:rPr>
          <w:rFonts w:cs="Arial"/>
          <w:szCs w:val="24"/>
        </w:rPr>
        <w:t>laboral, plantea incluir una regulación sistemática en lugar de proteger bajo el sistema de patentes.</w:t>
      </w:r>
    </w:p>
    <w:p w:rsidR="00BA10AB" w:rsidRPr="007E652E" w:rsidRDefault="00BA10AB" w:rsidP="00BA10AB">
      <w:pPr>
        <w:pStyle w:val="Prrafodelista"/>
        <w:numPr>
          <w:ilvl w:val="0"/>
          <w:numId w:val="18"/>
        </w:numPr>
        <w:autoSpaceDE w:val="0"/>
        <w:autoSpaceDN w:val="0"/>
        <w:adjustRightInd w:val="0"/>
        <w:spacing w:before="100" w:beforeAutospacing="1" w:after="100" w:afterAutospacing="1" w:line="360" w:lineRule="auto"/>
        <w:jc w:val="both"/>
        <w:rPr>
          <w:rFonts w:cs="Arial"/>
          <w:szCs w:val="24"/>
        </w:rPr>
      </w:pPr>
      <w:r w:rsidRPr="007E652E">
        <w:rPr>
          <w:rFonts w:cs="Arial"/>
          <w:szCs w:val="24"/>
        </w:rPr>
        <w:t>En cuanto a las acciones civiles, sugiere que se incluya una regulación sistemática similar a la contenida en la ley de patentes.</w:t>
      </w:r>
    </w:p>
    <w:p w:rsidR="00BA10AB" w:rsidRPr="007E652E" w:rsidRDefault="00BA10AB" w:rsidP="00BA10AB">
      <w:pPr>
        <w:pStyle w:val="Prrafodelista"/>
        <w:numPr>
          <w:ilvl w:val="0"/>
          <w:numId w:val="18"/>
        </w:numPr>
        <w:autoSpaceDE w:val="0"/>
        <w:autoSpaceDN w:val="0"/>
        <w:adjustRightInd w:val="0"/>
        <w:spacing w:before="100" w:beforeAutospacing="1" w:after="100" w:afterAutospacing="1" w:line="360" w:lineRule="auto"/>
        <w:jc w:val="both"/>
        <w:rPr>
          <w:rFonts w:cs="Arial"/>
          <w:szCs w:val="24"/>
        </w:rPr>
      </w:pPr>
      <w:r w:rsidRPr="007E652E">
        <w:rPr>
          <w:rFonts w:cs="Arial"/>
          <w:szCs w:val="24"/>
        </w:rPr>
        <w:t>Entiende</w:t>
      </w:r>
      <w:r w:rsidRPr="007E652E">
        <w:t xml:space="preserve"> </w:t>
      </w:r>
      <w:r w:rsidRPr="007E652E">
        <w:rPr>
          <w:rFonts w:cs="Arial"/>
          <w:szCs w:val="24"/>
        </w:rPr>
        <w:t>conveniente regular la cotitularidad de secretos empresariales con un régimen jurídico equivalente al de patentes.</w:t>
      </w:r>
    </w:p>
    <w:p w:rsidR="00BA10AB" w:rsidRPr="007E652E" w:rsidRDefault="00BA10AB" w:rsidP="00BA10AB">
      <w:pPr>
        <w:pStyle w:val="Prrafodelista"/>
        <w:numPr>
          <w:ilvl w:val="0"/>
          <w:numId w:val="18"/>
        </w:numPr>
        <w:autoSpaceDE w:val="0"/>
        <w:autoSpaceDN w:val="0"/>
        <w:adjustRightInd w:val="0"/>
        <w:spacing w:before="100" w:beforeAutospacing="1" w:after="100" w:afterAutospacing="1" w:line="360" w:lineRule="auto"/>
        <w:jc w:val="both"/>
        <w:rPr>
          <w:rFonts w:cs="Arial"/>
          <w:szCs w:val="24"/>
        </w:rPr>
      </w:pPr>
      <w:r w:rsidRPr="007E652E">
        <w:rPr>
          <w:rFonts w:cs="Arial"/>
          <w:szCs w:val="24"/>
        </w:rPr>
        <w:t xml:space="preserve">Respecto de las licencias contractuales señala que debería establecerse una regulación coherente con la </w:t>
      </w:r>
      <w:r w:rsidR="00B03F78" w:rsidRPr="007E652E">
        <w:rPr>
          <w:rFonts w:cs="Arial"/>
          <w:szCs w:val="24"/>
        </w:rPr>
        <w:t>de patentes y recomienda</w:t>
      </w:r>
      <w:r w:rsidRPr="007E652E">
        <w:rPr>
          <w:rFonts w:cs="Arial"/>
          <w:szCs w:val="24"/>
        </w:rPr>
        <w:t xml:space="preserve"> eliminar o atemperar la responsabilidad del transmitente o licenciante.</w:t>
      </w:r>
    </w:p>
    <w:p w:rsidR="00BA10AB" w:rsidRPr="007E652E" w:rsidRDefault="00BA10AB" w:rsidP="00BA10AB">
      <w:pPr>
        <w:pStyle w:val="Prrafodelista"/>
        <w:numPr>
          <w:ilvl w:val="0"/>
          <w:numId w:val="18"/>
        </w:numPr>
        <w:autoSpaceDE w:val="0"/>
        <w:autoSpaceDN w:val="0"/>
        <w:adjustRightInd w:val="0"/>
        <w:spacing w:before="100" w:beforeAutospacing="1" w:after="100" w:afterAutospacing="1" w:line="360" w:lineRule="auto"/>
        <w:jc w:val="both"/>
        <w:rPr>
          <w:rFonts w:cs="Arial"/>
          <w:szCs w:val="24"/>
        </w:rPr>
      </w:pPr>
      <w:r w:rsidRPr="007E652E">
        <w:rPr>
          <w:rFonts w:cs="Arial"/>
          <w:szCs w:val="24"/>
        </w:rPr>
        <w:t>En la parte procesal, propone que la nueva norma se remita a las leyes de patentes y de enjuiciamiento civil, reformando esta última para precisar que las diligencias de comprobación de hechos sean aplicables cuando el solicitante pretenda ejercitar la acción por violación de un secreto empresarial; y para que la confidencialidad sea preservada en cualquier litigio donde se maneje información confidencial.</w:t>
      </w:r>
    </w:p>
    <w:p w:rsidR="00BA10AB" w:rsidRDefault="00BA10AB" w:rsidP="00BA10AB">
      <w:pPr>
        <w:pStyle w:val="Prrafodelista"/>
        <w:numPr>
          <w:ilvl w:val="0"/>
          <w:numId w:val="18"/>
        </w:numPr>
        <w:autoSpaceDE w:val="0"/>
        <w:autoSpaceDN w:val="0"/>
        <w:adjustRightInd w:val="0"/>
        <w:spacing w:before="100" w:beforeAutospacing="1" w:after="100" w:afterAutospacing="1" w:line="360" w:lineRule="auto"/>
        <w:jc w:val="both"/>
        <w:rPr>
          <w:rFonts w:cs="Arial"/>
          <w:szCs w:val="24"/>
        </w:rPr>
      </w:pPr>
      <w:r w:rsidRPr="007E652E">
        <w:rPr>
          <w:rFonts w:cs="Arial"/>
          <w:szCs w:val="24"/>
        </w:rPr>
        <w:t>Finalmente, propone la supletoriedad de la ley de patentes.</w:t>
      </w:r>
    </w:p>
    <w:p w:rsidR="00D07CBC" w:rsidRPr="00D07CBC" w:rsidRDefault="00D07CBC" w:rsidP="00B32098">
      <w:pPr>
        <w:spacing w:before="240" w:after="240" w:line="360" w:lineRule="auto"/>
        <w:jc w:val="both"/>
        <w:rPr>
          <w:rFonts w:cs="Arial"/>
          <w:szCs w:val="24"/>
        </w:rPr>
      </w:pPr>
      <w:r w:rsidRPr="00D07CBC">
        <w:rPr>
          <w:rFonts w:ascii="Arial" w:eastAsia="Times New Roman" w:hAnsi="Arial" w:cs="Arial"/>
          <w:sz w:val="24"/>
          <w:szCs w:val="24"/>
          <w:lang w:eastAsia="es-ES"/>
        </w:rPr>
        <w:t xml:space="preserve">No obstante, </w:t>
      </w:r>
      <w:r w:rsidR="00220749">
        <w:rPr>
          <w:rFonts w:ascii="Arial" w:eastAsia="Times New Roman" w:hAnsi="Arial" w:cs="Arial"/>
          <w:sz w:val="24"/>
          <w:szCs w:val="24"/>
          <w:lang w:eastAsia="es-ES"/>
        </w:rPr>
        <w:t>las</w:t>
      </w:r>
      <w:r w:rsidRPr="00D07CBC">
        <w:rPr>
          <w:rFonts w:ascii="Arial" w:eastAsia="Times New Roman" w:hAnsi="Arial" w:cs="Arial"/>
          <w:sz w:val="24"/>
          <w:szCs w:val="24"/>
          <w:lang w:eastAsia="es-ES"/>
        </w:rPr>
        <w:t xml:space="preserve"> sugerencias </w:t>
      </w:r>
      <w:r w:rsidR="00220749">
        <w:rPr>
          <w:rFonts w:ascii="Arial" w:eastAsia="Times New Roman" w:hAnsi="Arial" w:cs="Arial"/>
          <w:sz w:val="24"/>
          <w:szCs w:val="24"/>
          <w:lang w:eastAsia="es-ES"/>
        </w:rPr>
        <w:t xml:space="preserve">realizadas </w:t>
      </w:r>
      <w:r>
        <w:rPr>
          <w:rFonts w:ascii="Arial" w:eastAsia="Times New Roman" w:hAnsi="Arial" w:cs="Arial"/>
          <w:sz w:val="24"/>
          <w:szCs w:val="24"/>
          <w:lang w:eastAsia="es-ES"/>
        </w:rPr>
        <w:t>en el trámite de consulta previa, han sido matizadas</w:t>
      </w:r>
      <w:r w:rsidR="00A574EC">
        <w:rPr>
          <w:rFonts w:ascii="Arial" w:eastAsia="Times New Roman" w:hAnsi="Arial" w:cs="Arial"/>
          <w:sz w:val="24"/>
          <w:szCs w:val="24"/>
          <w:lang w:eastAsia="es-ES"/>
        </w:rPr>
        <w:t xml:space="preserve"> </w:t>
      </w:r>
      <w:r>
        <w:rPr>
          <w:rFonts w:ascii="Arial" w:eastAsia="Times New Roman" w:hAnsi="Arial" w:cs="Arial"/>
          <w:sz w:val="24"/>
          <w:szCs w:val="24"/>
          <w:lang w:eastAsia="es-ES"/>
        </w:rPr>
        <w:t>por</w:t>
      </w:r>
      <w:r w:rsidR="00220749">
        <w:rPr>
          <w:rFonts w:ascii="Arial" w:eastAsia="Times New Roman" w:hAnsi="Arial" w:cs="Arial"/>
          <w:sz w:val="24"/>
          <w:szCs w:val="24"/>
          <w:lang w:eastAsia="es-ES"/>
        </w:rPr>
        <w:t xml:space="preserve"> la propia LES España-Portugal</w:t>
      </w:r>
      <w:r>
        <w:rPr>
          <w:rFonts w:ascii="Arial" w:eastAsia="Times New Roman" w:hAnsi="Arial" w:cs="Arial"/>
          <w:sz w:val="24"/>
          <w:szCs w:val="24"/>
          <w:lang w:eastAsia="es-ES"/>
        </w:rPr>
        <w:t xml:space="preserve"> en el trámite de audiencia e información p</w:t>
      </w:r>
      <w:r w:rsidR="00220749">
        <w:rPr>
          <w:rFonts w:ascii="Arial" w:eastAsia="Times New Roman" w:hAnsi="Arial" w:cs="Arial"/>
          <w:sz w:val="24"/>
          <w:szCs w:val="24"/>
          <w:lang w:eastAsia="es-ES"/>
        </w:rPr>
        <w:t>ública</w:t>
      </w:r>
      <w:r w:rsidR="00A574EC">
        <w:rPr>
          <w:rFonts w:ascii="Arial" w:eastAsia="Times New Roman" w:hAnsi="Arial" w:cs="Arial"/>
          <w:sz w:val="24"/>
          <w:szCs w:val="24"/>
          <w:lang w:eastAsia="es-ES"/>
        </w:rPr>
        <w:t>.</w:t>
      </w:r>
    </w:p>
    <w:p w:rsidR="00D03F3A" w:rsidRPr="007E652E" w:rsidRDefault="00D03F3A" w:rsidP="00E00757">
      <w:pPr>
        <w:pStyle w:val="Ttulo2"/>
        <w:jc w:val="center"/>
        <w:rPr>
          <w:i w:val="0"/>
        </w:rPr>
      </w:pPr>
      <w:bookmarkStart w:id="24" w:name="_Toc511982532"/>
      <w:r w:rsidRPr="007E652E">
        <w:rPr>
          <w:i w:val="0"/>
        </w:rPr>
        <w:lastRenderedPageBreak/>
        <w:t>4.2 Trámite de audiencia e información pública</w:t>
      </w:r>
      <w:bookmarkEnd w:id="24"/>
    </w:p>
    <w:p w:rsidR="00D03F3A" w:rsidRDefault="002800F2" w:rsidP="00D03F3A">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C</w:t>
      </w:r>
      <w:r w:rsidR="00D03F3A" w:rsidRPr="007E652E">
        <w:rPr>
          <w:rFonts w:ascii="Arial" w:eastAsia="Times New Roman" w:hAnsi="Arial" w:cs="Arial"/>
          <w:sz w:val="24"/>
          <w:szCs w:val="24"/>
          <w:lang w:eastAsia="es-ES"/>
        </w:rPr>
        <w:t xml:space="preserve">onforme al artículo 26.6 de la Ley del Gobierno, tras </w:t>
      </w:r>
      <w:r w:rsidR="00506807">
        <w:rPr>
          <w:rFonts w:ascii="Arial" w:eastAsia="Times New Roman" w:hAnsi="Arial" w:cs="Arial"/>
          <w:sz w:val="24"/>
          <w:szCs w:val="24"/>
          <w:lang w:eastAsia="es-ES"/>
        </w:rPr>
        <w:t>su elevación</w:t>
      </w:r>
      <w:r w:rsidR="00D03F3A" w:rsidRPr="007E652E">
        <w:rPr>
          <w:rFonts w:ascii="Arial" w:eastAsia="Times New Roman" w:hAnsi="Arial" w:cs="Arial"/>
          <w:sz w:val="24"/>
          <w:szCs w:val="24"/>
          <w:lang w:eastAsia="es-ES"/>
        </w:rPr>
        <w:t xml:space="preserve"> al Consejo de Ministros para el trámite previsto en el artículo 26.4 de la misma ley</w:t>
      </w:r>
      <w:r>
        <w:rPr>
          <w:rFonts w:ascii="Arial" w:eastAsia="Times New Roman" w:hAnsi="Arial" w:cs="Arial"/>
          <w:sz w:val="24"/>
          <w:szCs w:val="24"/>
          <w:lang w:eastAsia="es-ES"/>
        </w:rPr>
        <w:t xml:space="preserve">, el presente </w:t>
      </w:r>
      <w:r w:rsidR="00506807">
        <w:rPr>
          <w:rFonts w:ascii="Arial" w:eastAsia="Times New Roman" w:hAnsi="Arial" w:cs="Arial"/>
          <w:sz w:val="24"/>
          <w:szCs w:val="24"/>
          <w:lang w:eastAsia="es-ES"/>
        </w:rPr>
        <w:t>anteproyecto</w:t>
      </w:r>
      <w:r>
        <w:rPr>
          <w:rFonts w:ascii="Arial" w:eastAsia="Times New Roman" w:hAnsi="Arial" w:cs="Arial"/>
          <w:sz w:val="24"/>
          <w:szCs w:val="24"/>
          <w:lang w:eastAsia="es-ES"/>
        </w:rPr>
        <w:t xml:space="preserve"> ha sido sometido al trámite de información pública entre el </w:t>
      </w:r>
      <w:r w:rsidRPr="002800F2">
        <w:rPr>
          <w:rFonts w:ascii="Arial" w:eastAsia="Times New Roman" w:hAnsi="Arial" w:cs="Arial"/>
          <w:sz w:val="24"/>
          <w:szCs w:val="24"/>
          <w:lang w:eastAsia="es-ES"/>
        </w:rPr>
        <w:t>14/02/2018</w:t>
      </w:r>
      <w:r>
        <w:rPr>
          <w:rFonts w:ascii="Arial" w:eastAsia="Times New Roman" w:hAnsi="Arial" w:cs="Arial"/>
          <w:sz w:val="24"/>
          <w:szCs w:val="24"/>
          <w:lang w:eastAsia="es-ES"/>
        </w:rPr>
        <w:t xml:space="preserve"> y el </w:t>
      </w:r>
      <w:r w:rsidRPr="002800F2">
        <w:rPr>
          <w:rFonts w:ascii="Arial" w:eastAsia="Times New Roman" w:hAnsi="Arial" w:cs="Arial"/>
          <w:sz w:val="24"/>
          <w:szCs w:val="24"/>
          <w:lang w:eastAsia="es-ES"/>
        </w:rPr>
        <w:t>07/03/2018</w:t>
      </w:r>
      <w:r w:rsidR="009F1B0C">
        <w:rPr>
          <w:rFonts w:ascii="Arial" w:eastAsia="Times New Roman" w:hAnsi="Arial" w:cs="Arial"/>
          <w:sz w:val="24"/>
          <w:szCs w:val="24"/>
          <w:lang w:eastAsia="es-ES"/>
        </w:rPr>
        <w:t xml:space="preserve">, en el que han sido </w:t>
      </w:r>
      <w:r>
        <w:rPr>
          <w:rFonts w:ascii="Arial" w:eastAsia="Times New Roman" w:hAnsi="Arial" w:cs="Arial"/>
          <w:sz w:val="24"/>
          <w:szCs w:val="24"/>
          <w:lang w:eastAsia="es-ES"/>
        </w:rPr>
        <w:t xml:space="preserve">recibidas observaciones del Colegio Oficial de Ingenieros Industriales de Cataluña (06/02018), </w:t>
      </w:r>
      <w:r w:rsidR="009F1B0C">
        <w:rPr>
          <w:rFonts w:ascii="Arial" w:eastAsia="Times New Roman" w:hAnsi="Arial" w:cs="Arial"/>
          <w:sz w:val="24"/>
          <w:szCs w:val="24"/>
          <w:lang w:eastAsia="es-ES"/>
        </w:rPr>
        <w:t>d</w:t>
      </w:r>
      <w:r w:rsidR="00715047">
        <w:rPr>
          <w:rFonts w:ascii="Arial" w:eastAsia="Times New Roman" w:hAnsi="Arial" w:cs="Arial"/>
          <w:sz w:val="24"/>
          <w:szCs w:val="24"/>
          <w:lang w:eastAsia="es-ES"/>
        </w:rPr>
        <w:t xml:space="preserve">el CSIC (06/03/2018), </w:t>
      </w:r>
      <w:r w:rsidR="009F1B0C">
        <w:rPr>
          <w:rFonts w:ascii="Arial" w:eastAsia="Times New Roman" w:hAnsi="Arial" w:cs="Arial"/>
          <w:sz w:val="24"/>
          <w:szCs w:val="24"/>
          <w:lang w:eastAsia="es-ES"/>
        </w:rPr>
        <w:t xml:space="preserve">de </w:t>
      </w:r>
      <w:r>
        <w:rPr>
          <w:rFonts w:ascii="Arial" w:eastAsia="Times New Roman" w:hAnsi="Arial" w:cs="Arial"/>
          <w:sz w:val="24"/>
          <w:szCs w:val="24"/>
          <w:lang w:eastAsia="es-ES"/>
        </w:rPr>
        <w:t>la CEOE (07/03/2018)</w:t>
      </w:r>
      <w:r w:rsidR="009F1B0C">
        <w:rPr>
          <w:rFonts w:ascii="Arial" w:eastAsia="Times New Roman" w:hAnsi="Arial" w:cs="Arial"/>
          <w:sz w:val="24"/>
          <w:szCs w:val="24"/>
          <w:lang w:eastAsia="es-ES"/>
        </w:rPr>
        <w:t xml:space="preserve"> y de </w:t>
      </w:r>
      <w:r w:rsidR="005D79A3">
        <w:rPr>
          <w:rFonts w:ascii="Arial" w:eastAsia="Times New Roman" w:hAnsi="Arial" w:cs="Arial"/>
          <w:sz w:val="24"/>
          <w:szCs w:val="24"/>
          <w:lang w:eastAsia="es-ES"/>
        </w:rPr>
        <w:t>LES España Portugal (</w:t>
      </w:r>
      <w:r>
        <w:rPr>
          <w:rFonts w:ascii="Arial" w:eastAsia="Times New Roman" w:hAnsi="Arial" w:cs="Arial"/>
          <w:sz w:val="24"/>
          <w:szCs w:val="24"/>
          <w:lang w:eastAsia="es-ES"/>
        </w:rPr>
        <w:t>07/03/2018)</w:t>
      </w:r>
      <w:r w:rsidR="00715047">
        <w:rPr>
          <w:rFonts w:ascii="Arial" w:eastAsia="Times New Roman" w:hAnsi="Arial" w:cs="Arial"/>
          <w:sz w:val="24"/>
          <w:szCs w:val="24"/>
          <w:lang w:eastAsia="es-ES"/>
        </w:rPr>
        <w:t>.</w:t>
      </w:r>
    </w:p>
    <w:p w:rsidR="00715047" w:rsidRPr="007E652E" w:rsidRDefault="00715047" w:rsidP="00D03F3A">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w:t>
      </w:r>
      <w:r w:rsidR="00B32098">
        <w:rPr>
          <w:rFonts w:ascii="Arial" w:eastAsia="Times New Roman" w:hAnsi="Arial" w:cs="Arial"/>
          <w:sz w:val="24"/>
          <w:szCs w:val="24"/>
          <w:lang w:eastAsia="es-ES"/>
        </w:rPr>
        <w:t xml:space="preserve">incorpora </w:t>
      </w:r>
      <w:r>
        <w:rPr>
          <w:rFonts w:ascii="Arial" w:eastAsia="Times New Roman" w:hAnsi="Arial" w:cs="Arial"/>
          <w:sz w:val="24"/>
          <w:szCs w:val="24"/>
          <w:lang w:eastAsia="es-ES"/>
        </w:rPr>
        <w:t xml:space="preserve">a esta </w:t>
      </w:r>
      <w:r w:rsidR="0073621C">
        <w:rPr>
          <w:rFonts w:ascii="Arial" w:eastAsia="Times New Roman" w:hAnsi="Arial" w:cs="Arial"/>
          <w:sz w:val="24"/>
          <w:szCs w:val="24"/>
          <w:lang w:eastAsia="es-ES"/>
        </w:rPr>
        <w:t>MAIN</w:t>
      </w:r>
      <w:r>
        <w:rPr>
          <w:rFonts w:ascii="Arial" w:eastAsia="Times New Roman" w:hAnsi="Arial" w:cs="Arial"/>
          <w:sz w:val="24"/>
          <w:szCs w:val="24"/>
          <w:lang w:eastAsia="es-ES"/>
        </w:rPr>
        <w:t xml:space="preserve"> </w:t>
      </w:r>
      <w:r w:rsidR="00B32098">
        <w:rPr>
          <w:rFonts w:ascii="Arial" w:eastAsia="Times New Roman" w:hAnsi="Arial" w:cs="Arial"/>
          <w:sz w:val="24"/>
          <w:szCs w:val="24"/>
          <w:lang w:eastAsia="es-ES"/>
        </w:rPr>
        <w:t xml:space="preserve">como Anexo II </w:t>
      </w:r>
      <w:r>
        <w:rPr>
          <w:rFonts w:ascii="Arial" w:eastAsia="Times New Roman" w:hAnsi="Arial" w:cs="Arial"/>
          <w:sz w:val="24"/>
          <w:szCs w:val="24"/>
          <w:lang w:eastAsia="es-ES"/>
        </w:rPr>
        <w:t xml:space="preserve">un cuadro-resumen con las observaciones </w:t>
      </w:r>
      <w:r w:rsidR="00E574BF">
        <w:rPr>
          <w:rFonts w:ascii="Arial" w:eastAsia="Times New Roman" w:hAnsi="Arial" w:cs="Arial"/>
          <w:sz w:val="24"/>
          <w:szCs w:val="24"/>
          <w:lang w:eastAsia="es-ES"/>
        </w:rPr>
        <w:t>recibidas</w:t>
      </w:r>
      <w:r>
        <w:rPr>
          <w:rFonts w:ascii="Arial" w:eastAsia="Times New Roman" w:hAnsi="Arial" w:cs="Arial"/>
          <w:sz w:val="24"/>
          <w:szCs w:val="24"/>
          <w:lang w:eastAsia="es-ES"/>
        </w:rPr>
        <w:t xml:space="preserve"> así como su valoración.</w:t>
      </w:r>
    </w:p>
    <w:p w:rsidR="00D03F3A" w:rsidRPr="007E652E" w:rsidRDefault="00D03F3A" w:rsidP="00DB4BE4">
      <w:pPr>
        <w:pStyle w:val="Ttulo2"/>
        <w:jc w:val="center"/>
        <w:rPr>
          <w:i w:val="0"/>
        </w:rPr>
      </w:pPr>
      <w:bookmarkStart w:id="25" w:name="_Toc511982533"/>
      <w:r w:rsidRPr="007E652E">
        <w:rPr>
          <w:i w:val="0"/>
        </w:rPr>
        <w:t>4.3 Informes evacuados</w:t>
      </w:r>
      <w:bookmarkEnd w:id="25"/>
    </w:p>
    <w:p w:rsidR="00864096" w:rsidRDefault="00CA5DBF" w:rsidP="006A508E">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La propuesta</w:t>
      </w:r>
      <w:r w:rsidR="00B66AB6">
        <w:rPr>
          <w:rFonts w:ascii="Arial" w:eastAsia="Times New Roman" w:hAnsi="Arial" w:cs="Arial"/>
          <w:sz w:val="24"/>
          <w:szCs w:val="24"/>
          <w:lang w:eastAsia="es-ES"/>
        </w:rPr>
        <w:t xml:space="preserve"> de anteproyecto </w:t>
      </w:r>
      <w:r w:rsidR="00864096">
        <w:rPr>
          <w:rFonts w:ascii="Arial" w:eastAsia="Times New Roman" w:hAnsi="Arial" w:cs="Arial"/>
          <w:sz w:val="24"/>
          <w:szCs w:val="24"/>
          <w:lang w:eastAsia="es-ES"/>
        </w:rPr>
        <w:t xml:space="preserve">ha sido informada sin observaciones por el </w:t>
      </w:r>
      <w:r w:rsidR="00864096" w:rsidRPr="007E652E">
        <w:rPr>
          <w:rFonts w:ascii="Arial" w:eastAsia="Times New Roman" w:hAnsi="Arial" w:cs="Arial"/>
          <w:sz w:val="24"/>
          <w:szCs w:val="24"/>
          <w:lang w:eastAsia="es-ES"/>
        </w:rPr>
        <w:t xml:space="preserve">Ministerio de la Presidencia y para las Administraciones </w:t>
      </w:r>
      <w:r w:rsidR="00B32098">
        <w:rPr>
          <w:rFonts w:ascii="Arial" w:eastAsia="Times New Roman" w:hAnsi="Arial" w:cs="Arial"/>
          <w:sz w:val="24"/>
          <w:szCs w:val="24"/>
          <w:lang w:eastAsia="es-ES"/>
        </w:rPr>
        <w:t xml:space="preserve">Territoriales </w:t>
      </w:r>
      <w:r w:rsidR="008B215A">
        <w:rPr>
          <w:rFonts w:ascii="Arial" w:eastAsia="Times New Roman" w:hAnsi="Arial" w:cs="Arial"/>
          <w:sz w:val="24"/>
          <w:szCs w:val="24"/>
          <w:lang w:eastAsia="es-ES"/>
        </w:rPr>
        <w:t>(14/02/2018)</w:t>
      </w:r>
      <w:r w:rsidR="00864096" w:rsidRPr="007E652E">
        <w:rPr>
          <w:rFonts w:ascii="Arial" w:eastAsia="Times New Roman" w:hAnsi="Arial" w:cs="Arial"/>
          <w:sz w:val="24"/>
          <w:szCs w:val="24"/>
          <w:lang w:eastAsia="es-ES"/>
        </w:rPr>
        <w:t xml:space="preserve">, </w:t>
      </w:r>
      <w:r w:rsidR="00A574EC">
        <w:rPr>
          <w:rFonts w:ascii="Arial" w:eastAsia="Times New Roman" w:hAnsi="Arial" w:cs="Arial"/>
          <w:sz w:val="24"/>
          <w:szCs w:val="24"/>
          <w:lang w:eastAsia="es-ES"/>
        </w:rPr>
        <w:t xml:space="preserve">por </w:t>
      </w:r>
      <w:r w:rsidR="00864096" w:rsidRPr="007E652E">
        <w:rPr>
          <w:rFonts w:ascii="Arial" w:eastAsia="Times New Roman" w:hAnsi="Arial" w:cs="Arial"/>
          <w:sz w:val="24"/>
          <w:szCs w:val="24"/>
          <w:lang w:eastAsia="es-ES"/>
        </w:rPr>
        <w:t xml:space="preserve">el </w:t>
      </w:r>
      <w:r w:rsidR="008B215A" w:rsidRPr="007E652E">
        <w:rPr>
          <w:rFonts w:ascii="Arial" w:eastAsia="Times New Roman" w:hAnsi="Arial" w:cs="Arial"/>
          <w:sz w:val="24"/>
          <w:szCs w:val="24"/>
          <w:lang w:eastAsia="es-ES"/>
        </w:rPr>
        <w:t>Minister</w:t>
      </w:r>
      <w:r w:rsidR="008B215A">
        <w:rPr>
          <w:rFonts w:ascii="Arial" w:eastAsia="Times New Roman" w:hAnsi="Arial" w:cs="Arial"/>
          <w:sz w:val="24"/>
          <w:szCs w:val="24"/>
          <w:lang w:eastAsia="es-ES"/>
        </w:rPr>
        <w:t>io de Empleo y Seguridad Social (20/02/2018) y</w:t>
      </w:r>
      <w:r w:rsidR="00A574EC">
        <w:rPr>
          <w:rFonts w:ascii="Arial" w:eastAsia="Times New Roman" w:hAnsi="Arial" w:cs="Arial"/>
          <w:sz w:val="24"/>
          <w:szCs w:val="24"/>
          <w:lang w:eastAsia="es-ES"/>
        </w:rPr>
        <w:t xml:space="preserve"> por</w:t>
      </w:r>
      <w:r w:rsidR="008B215A">
        <w:rPr>
          <w:rFonts w:ascii="Arial" w:eastAsia="Times New Roman" w:hAnsi="Arial" w:cs="Arial"/>
          <w:sz w:val="24"/>
          <w:szCs w:val="24"/>
          <w:lang w:eastAsia="es-ES"/>
        </w:rPr>
        <w:t xml:space="preserve"> el </w:t>
      </w:r>
      <w:r w:rsidR="00864096" w:rsidRPr="007E652E">
        <w:rPr>
          <w:rFonts w:ascii="Arial" w:eastAsia="Times New Roman" w:hAnsi="Arial" w:cs="Arial"/>
          <w:sz w:val="24"/>
          <w:szCs w:val="24"/>
          <w:lang w:eastAsia="es-ES"/>
        </w:rPr>
        <w:t>Ministerio de Economía, Industria y Competitividad</w:t>
      </w:r>
      <w:r w:rsidR="008B215A">
        <w:rPr>
          <w:rFonts w:ascii="Arial" w:eastAsia="Times New Roman" w:hAnsi="Arial" w:cs="Arial"/>
          <w:sz w:val="24"/>
          <w:szCs w:val="24"/>
          <w:lang w:eastAsia="es-ES"/>
        </w:rPr>
        <w:t xml:space="preserve"> (06/04/2018)</w:t>
      </w:r>
      <w:r w:rsidR="00864096">
        <w:rPr>
          <w:rFonts w:ascii="Arial" w:eastAsia="Times New Roman" w:hAnsi="Arial" w:cs="Arial"/>
          <w:sz w:val="24"/>
          <w:szCs w:val="24"/>
          <w:lang w:eastAsia="es-ES"/>
        </w:rPr>
        <w:t>.</w:t>
      </w:r>
    </w:p>
    <w:p w:rsidR="00864096" w:rsidRDefault="00864096" w:rsidP="006A508E">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Por su parte, ha sido informada con observaciones por la SGT del </w:t>
      </w:r>
      <w:r w:rsidRPr="007E652E">
        <w:rPr>
          <w:rFonts w:ascii="Arial" w:eastAsia="Times New Roman" w:hAnsi="Arial" w:cs="Arial"/>
          <w:sz w:val="24"/>
          <w:szCs w:val="24"/>
          <w:lang w:eastAsia="es-ES"/>
        </w:rPr>
        <w:t>Ministerio de Energía, Turismo y Agenda Digital</w:t>
      </w:r>
      <w:r w:rsidR="00DF1BA4">
        <w:rPr>
          <w:rFonts w:ascii="Arial" w:eastAsia="Times New Roman" w:hAnsi="Arial" w:cs="Arial"/>
          <w:sz w:val="24"/>
          <w:szCs w:val="24"/>
          <w:lang w:eastAsia="es-ES"/>
        </w:rPr>
        <w:t xml:space="preserve"> (02/04/2018)</w:t>
      </w:r>
      <w:r w:rsidRPr="007E652E">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y por la </w:t>
      </w:r>
      <w:r w:rsidRPr="007E652E">
        <w:rPr>
          <w:rFonts w:ascii="Arial" w:eastAsia="Times New Roman" w:hAnsi="Arial" w:cs="Arial"/>
          <w:sz w:val="24"/>
          <w:szCs w:val="24"/>
          <w:lang w:eastAsia="es-ES"/>
        </w:rPr>
        <w:t>Oficina Española de Patentes y Marcas</w:t>
      </w:r>
      <w:r w:rsidR="00DF1BA4">
        <w:rPr>
          <w:rFonts w:ascii="Arial" w:eastAsia="Times New Roman" w:hAnsi="Arial" w:cs="Arial"/>
          <w:sz w:val="24"/>
          <w:szCs w:val="24"/>
          <w:lang w:eastAsia="es-ES"/>
        </w:rPr>
        <w:t xml:space="preserve"> (02/04/2018)</w:t>
      </w:r>
      <w:r>
        <w:rPr>
          <w:rFonts w:ascii="Arial" w:eastAsia="Times New Roman" w:hAnsi="Arial" w:cs="Arial"/>
          <w:sz w:val="24"/>
          <w:szCs w:val="24"/>
          <w:lang w:eastAsia="es-ES"/>
        </w:rPr>
        <w:t>;</w:t>
      </w:r>
      <w:r w:rsidR="00506807">
        <w:rPr>
          <w:rFonts w:ascii="Arial" w:eastAsia="Times New Roman" w:hAnsi="Arial" w:cs="Arial"/>
          <w:sz w:val="24"/>
          <w:szCs w:val="24"/>
          <w:lang w:eastAsia="es-ES"/>
        </w:rPr>
        <w:t xml:space="preserve"> por</w:t>
      </w:r>
      <w:r>
        <w:rPr>
          <w:rFonts w:ascii="Arial" w:eastAsia="Times New Roman" w:hAnsi="Arial" w:cs="Arial"/>
          <w:sz w:val="24"/>
          <w:szCs w:val="24"/>
          <w:lang w:eastAsia="es-ES"/>
        </w:rPr>
        <w:t xml:space="preserve"> la </w:t>
      </w:r>
      <w:r w:rsidRPr="007E652E">
        <w:rPr>
          <w:rFonts w:ascii="Arial" w:eastAsia="Times New Roman" w:hAnsi="Arial" w:cs="Arial"/>
          <w:sz w:val="24"/>
          <w:szCs w:val="24"/>
          <w:lang w:eastAsia="es-ES"/>
        </w:rPr>
        <w:t>Comisión Nacional de los Mercados y la Competencia</w:t>
      </w:r>
      <w:r w:rsidR="00DF1BA4">
        <w:rPr>
          <w:rFonts w:ascii="Arial" w:eastAsia="Times New Roman" w:hAnsi="Arial" w:cs="Arial"/>
          <w:sz w:val="24"/>
          <w:szCs w:val="24"/>
          <w:lang w:eastAsia="es-ES"/>
        </w:rPr>
        <w:t xml:space="preserve"> (16/03/2018)</w:t>
      </w:r>
      <w:r>
        <w:rPr>
          <w:rFonts w:ascii="Arial" w:eastAsia="Times New Roman" w:hAnsi="Arial" w:cs="Arial"/>
          <w:sz w:val="24"/>
          <w:szCs w:val="24"/>
          <w:lang w:eastAsia="es-ES"/>
        </w:rPr>
        <w:t xml:space="preserve">; y por el </w:t>
      </w:r>
      <w:r w:rsidRPr="007E652E">
        <w:rPr>
          <w:rFonts w:ascii="Arial" w:eastAsia="Times New Roman" w:hAnsi="Arial" w:cs="Arial"/>
          <w:sz w:val="24"/>
          <w:szCs w:val="24"/>
          <w:lang w:eastAsia="es-ES"/>
        </w:rPr>
        <w:t>Consejo General del Poder Judicial</w:t>
      </w:r>
      <w:r w:rsidR="00DF1BA4">
        <w:rPr>
          <w:rFonts w:ascii="Arial" w:eastAsia="Times New Roman" w:hAnsi="Arial" w:cs="Arial"/>
          <w:sz w:val="24"/>
          <w:szCs w:val="24"/>
          <w:lang w:eastAsia="es-ES"/>
        </w:rPr>
        <w:t xml:space="preserve"> (27/03/2018)</w:t>
      </w:r>
      <w:r w:rsidRPr="007E652E">
        <w:rPr>
          <w:rFonts w:ascii="Arial" w:eastAsia="Times New Roman" w:hAnsi="Arial" w:cs="Arial"/>
          <w:sz w:val="24"/>
          <w:szCs w:val="24"/>
          <w:lang w:eastAsia="es-ES"/>
        </w:rPr>
        <w:t>.</w:t>
      </w:r>
      <w:r>
        <w:rPr>
          <w:rFonts w:ascii="Arial" w:eastAsia="Times New Roman" w:hAnsi="Arial" w:cs="Arial"/>
          <w:sz w:val="24"/>
          <w:szCs w:val="24"/>
          <w:lang w:eastAsia="es-ES"/>
        </w:rPr>
        <w:t xml:space="preserve"> </w:t>
      </w:r>
    </w:p>
    <w:p w:rsidR="00CA5DBF" w:rsidRPr="007E652E" w:rsidRDefault="00864096" w:rsidP="006A508E">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w:t>
      </w:r>
      <w:r w:rsidR="00B32098">
        <w:rPr>
          <w:rFonts w:ascii="Arial" w:eastAsia="Times New Roman" w:hAnsi="Arial" w:cs="Arial"/>
          <w:sz w:val="24"/>
          <w:szCs w:val="24"/>
          <w:lang w:eastAsia="es-ES"/>
        </w:rPr>
        <w:t xml:space="preserve">incorpora </w:t>
      </w:r>
      <w:r>
        <w:rPr>
          <w:rFonts w:ascii="Arial" w:eastAsia="Times New Roman" w:hAnsi="Arial" w:cs="Arial"/>
          <w:sz w:val="24"/>
          <w:szCs w:val="24"/>
          <w:lang w:eastAsia="es-ES"/>
        </w:rPr>
        <w:t xml:space="preserve">a esta </w:t>
      </w:r>
      <w:r w:rsidR="0073621C">
        <w:rPr>
          <w:rFonts w:ascii="Arial" w:eastAsia="Times New Roman" w:hAnsi="Arial" w:cs="Arial"/>
          <w:sz w:val="24"/>
          <w:szCs w:val="24"/>
          <w:lang w:eastAsia="es-ES"/>
        </w:rPr>
        <w:t>MAIN</w:t>
      </w:r>
      <w:r w:rsidR="00B32098">
        <w:rPr>
          <w:rFonts w:ascii="Arial" w:eastAsia="Times New Roman" w:hAnsi="Arial" w:cs="Arial"/>
          <w:sz w:val="24"/>
          <w:szCs w:val="24"/>
          <w:lang w:eastAsia="es-ES"/>
        </w:rPr>
        <w:t xml:space="preserve"> como Anexo III</w:t>
      </w:r>
      <w:r>
        <w:rPr>
          <w:rFonts w:ascii="Arial" w:eastAsia="Times New Roman" w:hAnsi="Arial" w:cs="Arial"/>
          <w:sz w:val="24"/>
          <w:szCs w:val="24"/>
          <w:lang w:eastAsia="es-ES"/>
        </w:rPr>
        <w:t xml:space="preserve"> un cuadro-resumen con las </w:t>
      </w:r>
      <w:r w:rsidR="00E574BF">
        <w:rPr>
          <w:rFonts w:ascii="Arial" w:eastAsia="Times New Roman" w:hAnsi="Arial" w:cs="Arial"/>
          <w:sz w:val="24"/>
          <w:szCs w:val="24"/>
          <w:lang w:eastAsia="es-ES"/>
        </w:rPr>
        <w:t>observaciones</w:t>
      </w:r>
      <w:r>
        <w:rPr>
          <w:rFonts w:ascii="Arial" w:eastAsia="Times New Roman" w:hAnsi="Arial" w:cs="Arial"/>
          <w:sz w:val="24"/>
          <w:szCs w:val="24"/>
          <w:lang w:eastAsia="es-ES"/>
        </w:rPr>
        <w:t xml:space="preserve"> </w:t>
      </w:r>
      <w:r w:rsidR="00E574BF">
        <w:rPr>
          <w:rFonts w:ascii="Arial" w:eastAsia="Times New Roman" w:hAnsi="Arial" w:cs="Arial"/>
          <w:sz w:val="24"/>
          <w:szCs w:val="24"/>
          <w:lang w:eastAsia="es-ES"/>
        </w:rPr>
        <w:t>recibidas</w:t>
      </w:r>
      <w:r>
        <w:rPr>
          <w:rFonts w:ascii="Arial" w:eastAsia="Times New Roman" w:hAnsi="Arial" w:cs="Arial"/>
          <w:sz w:val="24"/>
          <w:szCs w:val="24"/>
          <w:lang w:eastAsia="es-ES"/>
        </w:rPr>
        <w:t xml:space="preserve"> </w:t>
      </w:r>
      <w:r w:rsidR="0073621C">
        <w:rPr>
          <w:rFonts w:ascii="Arial" w:eastAsia="Times New Roman" w:hAnsi="Arial" w:cs="Arial"/>
          <w:sz w:val="24"/>
          <w:szCs w:val="24"/>
          <w:lang w:eastAsia="es-ES"/>
        </w:rPr>
        <w:t xml:space="preserve">así como </w:t>
      </w:r>
      <w:r w:rsidR="007957F7">
        <w:rPr>
          <w:rFonts w:ascii="Arial" w:eastAsia="Times New Roman" w:hAnsi="Arial" w:cs="Arial"/>
          <w:sz w:val="24"/>
          <w:szCs w:val="24"/>
          <w:lang w:eastAsia="es-ES"/>
        </w:rPr>
        <w:t>su valoración, así como un Anexo IV, con los últimos cambios valorados por el otro departamento proponente, el MINETAD, con carácter previo a su remisión al C</w:t>
      </w:r>
      <w:r w:rsidR="002A51F9">
        <w:rPr>
          <w:rFonts w:ascii="Arial" w:eastAsia="Times New Roman" w:hAnsi="Arial" w:cs="Arial"/>
          <w:sz w:val="24"/>
          <w:szCs w:val="24"/>
          <w:lang w:eastAsia="es-ES"/>
        </w:rPr>
        <w:t xml:space="preserve">onsejo de </w:t>
      </w:r>
      <w:r w:rsidR="007957F7">
        <w:rPr>
          <w:rFonts w:ascii="Arial" w:eastAsia="Times New Roman" w:hAnsi="Arial" w:cs="Arial"/>
          <w:sz w:val="24"/>
          <w:szCs w:val="24"/>
          <w:lang w:eastAsia="es-ES"/>
        </w:rPr>
        <w:t>E</w:t>
      </w:r>
      <w:r w:rsidR="002A51F9">
        <w:rPr>
          <w:rFonts w:ascii="Arial" w:eastAsia="Times New Roman" w:hAnsi="Arial" w:cs="Arial"/>
          <w:sz w:val="24"/>
          <w:szCs w:val="24"/>
          <w:lang w:eastAsia="es-ES"/>
        </w:rPr>
        <w:t>stado</w:t>
      </w:r>
      <w:r w:rsidR="007957F7">
        <w:rPr>
          <w:rFonts w:ascii="Arial" w:eastAsia="Times New Roman" w:hAnsi="Arial" w:cs="Arial"/>
          <w:sz w:val="24"/>
          <w:szCs w:val="24"/>
          <w:lang w:eastAsia="es-ES"/>
        </w:rPr>
        <w:t>.</w:t>
      </w:r>
    </w:p>
    <w:p w:rsidR="00CA5DBF" w:rsidRPr="007E652E" w:rsidRDefault="00744644" w:rsidP="006A508E">
      <w:pPr>
        <w:spacing w:before="240" w:after="240"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Finalmente, el presente </w:t>
      </w:r>
      <w:r w:rsidR="009245BC">
        <w:rPr>
          <w:rFonts w:ascii="Arial" w:eastAsia="Times New Roman" w:hAnsi="Arial" w:cs="Arial"/>
          <w:sz w:val="24"/>
          <w:szCs w:val="24"/>
          <w:lang w:eastAsia="es-ES"/>
        </w:rPr>
        <w:t>anteproyecto</w:t>
      </w:r>
      <w:r>
        <w:rPr>
          <w:rFonts w:ascii="Arial" w:eastAsia="Times New Roman" w:hAnsi="Arial" w:cs="Arial"/>
          <w:sz w:val="24"/>
          <w:szCs w:val="24"/>
          <w:lang w:eastAsia="es-ES"/>
        </w:rPr>
        <w:t xml:space="preserve"> </w:t>
      </w:r>
      <w:r w:rsidR="006169BA">
        <w:rPr>
          <w:rFonts w:ascii="Arial" w:eastAsia="Times New Roman" w:hAnsi="Arial" w:cs="Arial"/>
          <w:sz w:val="24"/>
          <w:szCs w:val="24"/>
          <w:lang w:eastAsia="es-ES"/>
        </w:rPr>
        <w:t>ha sido</w:t>
      </w:r>
      <w:r>
        <w:rPr>
          <w:rFonts w:ascii="Arial" w:eastAsia="Times New Roman" w:hAnsi="Arial" w:cs="Arial"/>
          <w:sz w:val="24"/>
          <w:szCs w:val="24"/>
          <w:lang w:eastAsia="es-ES"/>
        </w:rPr>
        <w:t xml:space="preserve"> sometido al dictamen del</w:t>
      </w:r>
      <w:r w:rsidR="00CA5DBF" w:rsidRPr="007E652E">
        <w:rPr>
          <w:rFonts w:ascii="Arial" w:eastAsia="Times New Roman" w:hAnsi="Arial" w:cs="Arial"/>
          <w:sz w:val="24"/>
          <w:szCs w:val="24"/>
          <w:lang w:eastAsia="es-ES"/>
        </w:rPr>
        <w:t xml:space="preserve"> Pleno del Consejo de Estado</w:t>
      </w:r>
      <w:r w:rsidR="00D64775">
        <w:rPr>
          <w:rFonts w:ascii="Arial" w:eastAsia="Times New Roman" w:hAnsi="Arial" w:cs="Arial"/>
          <w:sz w:val="24"/>
          <w:szCs w:val="24"/>
          <w:lang w:eastAsia="es-ES"/>
        </w:rPr>
        <w:t xml:space="preserve"> </w:t>
      </w:r>
      <w:r w:rsidR="009245BC">
        <w:rPr>
          <w:rFonts w:ascii="Arial" w:eastAsia="Times New Roman" w:hAnsi="Arial" w:cs="Arial"/>
          <w:sz w:val="24"/>
          <w:szCs w:val="24"/>
          <w:lang w:eastAsia="es-ES"/>
        </w:rPr>
        <w:t>conforme dispone</w:t>
      </w:r>
      <w:r w:rsidR="00D64775">
        <w:rPr>
          <w:rFonts w:ascii="Arial" w:eastAsia="Times New Roman" w:hAnsi="Arial" w:cs="Arial"/>
          <w:sz w:val="24"/>
          <w:szCs w:val="24"/>
          <w:lang w:eastAsia="es-ES"/>
        </w:rPr>
        <w:t xml:space="preserve"> el art. 21.2 de su Ley Orgánica</w:t>
      </w:r>
      <w:r w:rsidR="006169BA">
        <w:rPr>
          <w:rFonts w:ascii="Arial" w:eastAsia="Times New Roman" w:hAnsi="Arial" w:cs="Arial"/>
          <w:sz w:val="24"/>
          <w:szCs w:val="24"/>
          <w:lang w:eastAsia="es-ES"/>
        </w:rPr>
        <w:t xml:space="preserve"> (Dictamen núm. 401/2018, de 17 de mayo). Todas las observaciones formuladas por el Consejo de Estado han sido aceptadas incorporándose a esta MAIN como Anexo V un resumen de las mismas.</w:t>
      </w:r>
    </w:p>
    <w:p w:rsidR="001A7BC6" w:rsidRPr="007E652E" w:rsidRDefault="001A7BC6" w:rsidP="006A508E">
      <w:pPr>
        <w:spacing w:before="240" w:after="240" w:line="360" w:lineRule="auto"/>
        <w:ind w:firstLine="708"/>
        <w:jc w:val="both"/>
        <w:rPr>
          <w:rFonts w:ascii="Arial" w:eastAsia="Times New Roman" w:hAnsi="Arial" w:cs="Arial"/>
          <w:sz w:val="24"/>
          <w:szCs w:val="24"/>
          <w:lang w:eastAsia="es-ES"/>
        </w:rPr>
      </w:pPr>
    </w:p>
    <w:p w:rsidR="004D4209" w:rsidRPr="007E652E" w:rsidRDefault="001A7BC6" w:rsidP="00DB4BE4">
      <w:pPr>
        <w:pStyle w:val="Ttulo1"/>
        <w:rPr>
          <w:i/>
          <w:szCs w:val="24"/>
          <w:u w:val="single"/>
        </w:rPr>
      </w:pPr>
      <w:bookmarkStart w:id="26" w:name="_Toc511982534"/>
      <w:r w:rsidRPr="007E652E">
        <w:rPr>
          <w:szCs w:val="24"/>
          <w:u w:val="single"/>
        </w:rPr>
        <w:lastRenderedPageBreak/>
        <w:t xml:space="preserve">5. EVALUACIÓN </w:t>
      </w:r>
      <w:r w:rsidRPr="007E652E">
        <w:rPr>
          <w:i/>
          <w:szCs w:val="24"/>
          <w:u w:val="single"/>
        </w:rPr>
        <w:t>EX POST</w:t>
      </w:r>
      <w:bookmarkEnd w:id="26"/>
    </w:p>
    <w:p w:rsidR="005F5128" w:rsidRPr="007E652E" w:rsidRDefault="005F5128" w:rsidP="00F566B0">
      <w:pPr>
        <w:spacing w:before="240" w:after="240" w:line="360" w:lineRule="auto"/>
        <w:ind w:firstLine="708"/>
        <w:jc w:val="both"/>
        <w:rPr>
          <w:rFonts w:ascii="Arial" w:eastAsia="Times New Roman" w:hAnsi="Arial" w:cs="Arial"/>
          <w:sz w:val="24"/>
          <w:szCs w:val="24"/>
          <w:lang w:eastAsia="es-ES"/>
        </w:rPr>
      </w:pPr>
      <w:r w:rsidRPr="007E652E">
        <w:rPr>
          <w:rFonts w:ascii="Arial" w:eastAsia="Times New Roman" w:hAnsi="Arial" w:cs="Arial"/>
          <w:sz w:val="24"/>
          <w:szCs w:val="24"/>
          <w:lang w:eastAsia="es-ES"/>
        </w:rPr>
        <w:t>De acuerdo con el Plan Anual Normativo de 2018, la presente norma no aparece identificada entre el conjunto de proyectos que habrán de someterse a un análisis sobre los resultados de su aplicación.</w:t>
      </w:r>
    </w:p>
    <w:p w:rsidR="005F5128" w:rsidRPr="007E652E" w:rsidRDefault="005F5128" w:rsidP="005F5128">
      <w:pPr>
        <w:rPr>
          <w:rFonts w:ascii="Arial" w:hAnsi="Arial" w:cs="Arial"/>
          <w:sz w:val="24"/>
          <w:szCs w:val="24"/>
          <w:lang w:eastAsia="es-ES"/>
        </w:rPr>
      </w:pPr>
      <w:r w:rsidRPr="007E652E">
        <w:rPr>
          <w:rFonts w:ascii="Arial" w:hAnsi="Arial" w:cs="Arial"/>
          <w:sz w:val="24"/>
          <w:szCs w:val="24"/>
          <w:lang w:eastAsia="es-ES"/>
        </w:rPr>
        <w:br w:type="page"/>
      </w:r>
    </w:p>
    <w:p w:rsidR="00F7415C" w:rsidRPr="007E652E" w:rsidRDefault="00F7415C" w:rsidP="00DB4BE4">
      <w:pPr>
        <w:pStyle w:val="Ttulo1"/>
        <w:rPr>
          <w:szCs w:val="24"/>
          <w:u w:val="single"/>
        </w:rPr>
      </w:pPr>
      <w:bookmarkStart w:id="27" w:name="_Toc511982535"/>
      <w:r w:rsidRPr="007E652E">
        <w:rPr>
          <w:szCs w:val="24"/>
          <w:u w:val="single"/>
        </w:rPr>
        <w:lastRenderedPageBreak/>
        <w:t>ANEXO</w:t>
      </w:r>
      <w:r w:rsidR="005054BB" w:rsidRPr="007E652E">
        <w:rPr>
          <w:szCs w:val="24"/>
          <w:u w:val="single"/>
        </w:rPr>
        <w:t xml:space="preserve"> </w:t>
      </w:r>
      <w:r w:rsidR="00220B5E" w:rsidRPr="007E652E">
        <w:rPr>
          <w:szCs w:val="24"/>
          <w:u w:val="single"/>
        </w:rPr>
        <w:t>I</w:t>
      </w:r>
      <w:bookmarkEnd w:id="27"/>
    </w:p>
    <w:p w:rsidR="00F7415C" w:rsidRPr="007E652E" w:rsidRDefault="00F7415C" w:rsidP="006A508E">
      <w:pPr>
        <w:spacing w:before="240" w:after="240" w:line="360" w:lineRule="auto"/>
        <w:jc w:val="center"/>
        <w:rPr>
          <w:rFonts w:ascii="Arial" w:eastAsia="Times New Roman" w:hAnsi="Arial" w:cs="Arial"/>
          <w:b/>
          <w:sz w:val="24"/>
          <w:szCs w:val="24"/>
          <w:u w:val="single"/>
          <w:lang w:eastAsia="es-ES"/>
        </w:rPr>
      </w:pPr>
      <w:r w:rsidRPr="007E652E">
        <w:rPr>
          <w:rFonts w:ascii="Arial" w:eastAsia="Times New Roman" w:hAnsi="Arial" w:cs="Arial"/>
          <w:b/>
          <w:sz w:val="24"/>
          <w:szCs w:val="24"/>
          <w:u w:val="single"/>
          <w:lang w:eastAsia="es-ES"/>
        </w:rPr>
        <w:t>Tabla de transposiciones</w:t>
      </w:r>
    </w:p>
    <w:p w:rsidR="004C502A" w:rsidRPr="007E652E" w:rsidRDefault="009B1A41" w:rsidP="006A508E">
      <w:pPr>
        <w:spacing w:before="240" w:after="240" w:line="360" w:lineRule="auto"/>
        <w:jc w:val="center"/>
        <w:rPr>
          <w:rFonts w:ascii="Arial" w:eastAsia="Times New Roman" w:hAnsi="Arial" w:cs="Arial"/>
          <w:sz w:val="24"/>
          <w:szCs w:val="24"/>
          <w:lang w:val="es-ES_tradnl" w:eastAsia="es-ES"/>
        </w:rPr>
      </w:pPr>
      <w:r w:rsidRPr="007E652E">
        <w:rPr>
          <w:rFonts w:ascii="Arial" w:eastAsia="Times New Roman" w:hAnsi="Arial" w:cs="Arial"/>
          <w:b/>
          <w:sz w:val="24"/>
          <w:szCs w:val="24"/>
          <w:lang w:val="es-ES_tradnl" w:eastAsia="es-ES"/>
        </w:rPr>
        <w:t>Directiva (UE) 2016/943 del Parlamento Europeo y del Consejo de 8 de junio de 2016 relativa a la protección de los conocimientos técnicos y la información empresarial no divulgados (secretos comerciales) contra su obtención, utilización y revelación ilícitas</w:t>
      </w:r>
      <w:r w:rsidR="009E06B2" w:rsidRPr="007E652E">
        <w:rPr>
          <w:rFonts w:ascii="Arial" w:eastAsia="Times New Roman" w:hAnsi="Arial" w:cs="Arial"/>
          <w:sz w:val="24"/>
          <w:szCs w:val="24"/>
          <w:lang w:val="es-ES_tradnl" w:eastAsia="es-ES"/>
        </w:rPr>
        <w:t>.</w:t>
      </w:r>
    </w:p>
    <w:p w:rsidR="00F7415C" w:rsidRPr="007E652E" w:rsidRDefault="00F7415C" w:rsidP="00FB4B5F">
      <w:pPr>
        <w:spacing w:before="240" w:after="240" w:line="360" w:lineRule="auto"/>
        <w:jc w:val="center"/>
        <w:rPr>
          <w:rFonts w:ascii="Arial" w:eastAsia="Times New Roman" w:hAnsi="Arial" w:cs="Arial"/>
          <w:sz w:val="24"/>
          <w:szCs w:val="24"/>
          <w:lang w:val="es-ES_tradnl" w:eastAsia="es-ES"/>
        </w:rPr>
      </w:pPr>
      <w:r w:rsidRPr="007E652E">
        <w:rPr>
          <w:rFonts w:ascii="Arial" w:eastAsia="Times New Roman" w:hAnsi="Arial" w:cs="Arial"/>
          <w:sz w:val="24"/>
          <w:szCs w:val="24"/>
          <w:lang w:val="es-ES_tradnl" w:eastAsia="es-ES"/>
        </w:rPr>
        <w:t xml:space="preserve">Plazo de transposición: </w:t>
      </w:r>
      <w:r w:rsidR="00953B86" w:rsidRPr="007E652E">
        <w:rPr>
          <w:rFonts w:ascii="Arial" w:eastAsia="Times New Roman" w:hAnsi="Arial" w:cs="Arial"/>
          <w:sz w:val="24"/>
          <w:szCs w:val="24"/>
          <w:lang w:val="es-ES_tradnl" w:eastAsia="es-ES"/>
        </w:rPr>
        <w:t>9</w:t>
      </w:r>
      <w:r w:rsidR="008A4C99" w:rsidRPr="007E652E">
        <w:rPr>
          <w:rFonts w:ascii="Arial" w:eastAsia="Times New Roman" w:hAnsi="Arial" w:cs="Arial"/>
          <w:sz w:val="24"/>
          <w:szCs w:val="24"/>
          <w:lang w:val="es-ES_tradnl" w:eastAsia="es-ES"/>
        </w:rPr>
        <w:t xml:space="preserve"> </w:t>
      </w:r>
      <w:r w:rsidRPr="007E652E">
        <w:rPr>
          <w:rFonts w:ascii="Arial" w:eastAsia="Times New Roman" w:hAnsi="Arial" w:cs="Arial"/>
          <w:sz w:val="24"/>
          <w:szCs w:val="24"/>
          <w:lang w:val="es-ES_tradnl" w:eastAsia="es-ES"/>
        </w:rPr>
        <w:t xml:space="preserve">de </w:t>
      </w:r>
      <w:r w:rsidR="009B1A41" w:rsidRPr="007E652E">
        <w:rPr>
          <w:rFonts w:ascii="Arial" w:eastAsia="Times New Roman" w:hAnsi="Arial" w:cs="Arial"/>
          <w:sz w:val="24"/>
          <w:szCs w:val="24"/>
          <w:lang w:val="es-ES_tradnl" w:eastAsia="es-ES"/>
        </w:rPr>
        <w:t>junio</w:t>
      </w:r>
      <w:r w:rsidR="009800FD" w:rsidRPr="007E652E">
        <w:rPr>
          <w:rFonts w:ascii="Arial" w:eastAsia="Times New Roman" w:hAnsi="Arial" w:cs="Arial"/>
          <w:sz w:val="24"/>
          <w:szCs w:val="24"/>
          <w:lang w:val="es-ES_tradnl" w:eastAsia="es-ES"/>
        </w:rPr>
        <w:t xml:space="preserve"> de 201</w:t>
      </w:r>
      <w:r w:rsidR="009B1A41" w:rsidRPr="007E652E">
        <w:rPr>
          <w:rFonts w:ascii="Arial" w:eastAsia="Times New Roman" w:hAnsi="Arial" w:cs="Arial"/>
          <w:sz w:val="24"/>
          <w:szCs w:val="24"/>
          <w:lang w:val="es-ES_tradnl" w:eastAsia="es-ES"/>
        </w:rPr>
        <w:t>8</w:t>
      </w:r>
      <w:r w:rsidRPr="007E652E">
        <w:rPr>
          <w:rFonts w:ascii="Arial" w:eastAsia="Times New Roman" w:hAnsi="Arial" w:cs="Arial"/>
          <w:sz w:val="24"/>
          <w:szCs w:val="24"/>
          <w:lang w:val="es-ES_tradnl" w:eastAsia="es-ES"/>
        </w:rPr>
        <w:t>.</w:t>
      </w:r>
    </w:p>
    <w:p w:rsidR="000D055A" w:rsidRPr="007E652E" w:rsidRDefault="000D055A" w:rsidP="006A508E">
      <w:pPr>
        <w:spacing w:before="240" w:after="240" w:line="240" w:lineRule="auto"/>
        <w:jc w:val="both"/>
        <w:rPr>
          <w:rFonts w:ascii="Arial" w:hAnsi="Arial" w:cs="Arial"/>
          <w:sz w:val="24"/>
          <w:szCs w:val="24"/>
        </w:rPr>
      </w:pPr>
    </w:p>
    <w:tbl>
      <w:tblPr>
        <w:tblStyle w:val="Tablaconcuadrcula1"/>
        <w:tblW w:w="5000" w:type="pct"/>
        <w:tblLook w:val="04A0" w:firstRow="1" w:lastRow="0" w:firstColumn="1" w:lastColumn="0" w:noHBand="0" w:noVBand="1"/>
      </w:tblPr>
      <w:tblGrid>
        <w:gridCol w:w="4360"/>
        <w:gridCol w:w="4360"/>
      </w:tblGrid>
      <w:tr w:rsidR="007E652E" w:rsidRPr="007E652E" w:rsidTr="00FB4B5F">
        <w:trPr>
          <w:tblHeader/>
        </w:trPr>
        <w:tc>
          <w:tcPr>
            <w:tcW w:w="2500" w:type="pct"/>
            <w:shd w:val="pct12" w:color="auto" w:fill="auto"/>
          </w:tcPr>
          <w:p w:rsidR="008247F8" w:rsidRPr="007E652E" w:rsidRDefault="008247F8" w:rsidP="00014D45">
            <w:pPr>
              <w:spacing w:before="240" w:after="240"/>
              <w:jc w:val="center"/>
              <w:rPr>
                <w:rFonts w:ascii="Arial" w:hAnsi="Arial" w:cs="Arial"/>
                <w:b/>
                <w:sz w:val="24"/>
                <w:szCs w:val="24"/>
              </w:rPr>
            </w:pPr>
            <w:r w:rsidRPr="007E652E">
              <w:rPr>
                <w:rFonts w:ascii="Arial" w:hAnsi="Arial" w:cs="Arial"/>
                <w:b/>
                <w:sz w:val="24"/>
                <w:szCs w:val="24"/>
              </w:rPr>
              <w:t xml:space="preserve">DIRECTIVA </w:t>
            </w:r>
            <w:r w:rsidR="00014D45" w:rsidRPr="007E652E">
              <w:rPr>
                <w:rFonts w:ascii="Arial" w:hAnsi="Arial" w:cs="Arial"/>
                <w:b/>
                <w:sz w:val="24"/>
                <w:szCs w:val="24"/>
              </w:rPr>
              <w:t xml:space="preserve">(UE) </w:t>
            </w:r>
            <w:r w:rsidR="00562D33" w:rsidRPr="007E652E">
              <w:rPr>
                <w:rFonts w:ascii="Arial" w:hAnsi="Arial" w:cs="Arial"/>
                <w:b/>
                <w:sz w:val="24"/>
                <w:szCs w:val="24"/>
              </w:rPr>
              <w:t>2016/943</w:t>
            </w:r>
          </w:p>
        </w:tc>
        <w:tc>
          <w:tcPr>
            <w:tcW w:w="2500" w:type="pct"/>
            <w:shd w:val="pct12" w:color="auto" w:fill="auto"/>
          </w:tcPr>
          <w:p w:rsidR="008247F8" w:rsidRPr="007E652E" w:rsidRDefault="00014D45" w:rsidP="00014D45">
            <w:pPr>
              <w:spacing w:before="240" w:after="240"/>
              <w:jc w:val="center"/>
              <w:rPr>
                <w:rFonts w:ascii="Arial" w:hAnsi="Arial" w:cs="Arial"/>
                <w:b/>
                <w:sz w:val="24"/>
                <w:szCs w:val="24"/>
              </w:rPr>
            </w:pPr>
            <w:r w:rsidRPr="007E652E">
              <w:rPr>
                <w:rFonts w:ascii="Arial" w:hAnsi="Arial" w:cs="Arial"/>
                <w:b/>
                <w:sz w:val="24"/>
                <w:szCs w:val="24"/>
              </w:rPr>
              <w:t>ANTEPROYECTO DE LEY</w:t>
            </w:r>
          </w:p>
        </w:tc>
      </w:tr>
      <w:tr w:rsidR="007E652E" w:rsidRPr="007E652E" w:rsidTr="003A227E">
        <w:trPr>
          <w:trHeight w:val="1005"/>
        </w:trPr>
        <w:tc>
          <w:tcPr>
            <w:tcW w:w="2500" w:type="pct"/>
          </w:tcPr>
          <w:p w:rsidR="005F2825" w:rsidRPr="007E652E" w:rsidRDefault="005F2825" w:rsidP="006A508E">
            <w:pPr>
              <w:spacing w:before="240" w:after="240"/>
              <w:jc w:val="both"/>
              <w:rPr>
                <w:rFonts w:ascii="Arial" w:hAnsi="Arial" w:cs="Arial"/>
                <w:iCs/>
                <w:sz w:val="24"/>
                <w:szCs w:val="24"/>
              </w:rPr>
            </w:pPr>
            <w:r w:rsidRPr="007E652E">
              <w:rPr>
                <w:rFonts w:ascii="Arial" w:hAnsi="Arial" w:cs="Arial"/>
                <w:iCs/>
                <w:sz w:val="24"/>
                <w:szCs w:val="24"/>
              </w:rPr>
              <w:t>Artículo 1</w:t>
            </w:r>
          </w:p>
          <w:p w:rsidR="008247F8" w:rsidRPr="007E652E" w:rsidRDefault="005F2825" w:rsidP="003A227E">
            <w:pPr>
              <w:spacing w:before="240" w:after="240"/>
              <w:rPr>
                <w:rFonts w:ascii="Arial" w:hAnsi="Arial" w:cs="Arial"/>
                <w:i/>
                <w:iCs/>
                <w:sz w:val="24"/>
                <w:szCs w:val="24"/>
              </w:rPr>
            </w:pPr>
            <w:r w:rsidRPr="007E652E">
              <w:rPr>
                <w:rFonts w:ascii="Arial" w:hAnsi="Arial" w:cs="Arial"/>
                <w:iCs/>
                <w:sz w:val="24"/>
                <w:szCs w:val="24"/>
              </w:rPr>
              <w:t>Objeto y ámbito de aplicación</w:t>
            </w:r>
          </w:p>
        </w:tc>
        <w:tc>
          <w:tcPr>
            <w:tcW w:w="2500" w:type="pct"/>
          </w:tcPr>
          <w:p w:rsidR="008247F8" w:rsidRPr="007E652E" w:rsidRDefault="003A227E" w:rsidP="003A227E">
            <w:pPr>
              <w:spacing w:before="240" w:after="240"/>
              <w:jc w:val="both"/>
              <w:rPr>
                <w:rFonts w:ascii="Arial" w:hAnsi="Arial" w:cs="Arial"/>
                <w:sz w:val="24"/>
                <w:szCs w:val="24"/>
              </w:rPr>
            </w:pPr>
            <w:r w:rsidRPr="007E652E">
              <w:rPr>
                <w:rFonts w:ascii="Arial" w:hAnsi="Arial" w:cs="Arial"/>
                <w:sz w:val="24"/>
                <w:szCs w:val="24"/>
              </w:rPr>
              <w:t>Arts.</w:t>
            </w:r>
            <w:r w:rsidR="007B0188" w:rsidRPr="007E652E">
              <w:rPr>
                <w:rFonts w:ascii="Arial" w:hAnsi="Arial" w:cs="Arial"/>
                <w:sz w:val="24"/>
                <w:szCs w:val="24"/>
              </w:rPr>
              <w:t xml:space="preserve"> </w:t>
            </w:r>
            <w:r w:rsidRPr="007E652E">
              <w:rPr>
                <w:rFonts w:ascii="Arial" w:hAnsi="Arial" w:cs="Arial"/>
                <w:sz w:val="24"/>
                <w:szCs w:val="24"/>
              </w:rPr>
              <w:t xml:space="preserve">1.1, </w:t>
            </w:r>
            <w:r w:rsidR="00F20B5B" w:rsidRPr="007E652E">
              <w:rPr>
                <w:rFonts w:ascii="Arial" w:hAnsi="Arial" w:cs="Arial"/>
                <w:sz w:val="24"/>
                <w:szCs w:val="24"/>
              </w:rPr>
              <w:t>1.2</w:t>
            </w:r>
            <w:r w:rsidRPr="007E652E">
              <w:rPr>
                <w:rFonts w:ascii="Arial" w:hAnsi="Arial" w:cs="Arial"/>
                <w:sz w:val="24"/>
                <w:szCs w:val="24"/>
              </w:rPr>
              <w:t xml:space="preserve">, </w:t>
            </w:r>
            <w:r w:rsidR="00F20B5B" w:rsidRPr="007E652E">
              <w:rPr>
                <w:rFonts w:ascii="Arial" w:hAnsi="Arial" w:cs="Arial"/>
                <w:sz w:val="24"/>
                <w:szCs w:val="24"/>
              </w:rPr>
              <w:t>1.3 y 2.3</w:t>
            </w:r>
            <w:r w:rsidR="00014A37" w:rsidRPr="007E652E">
              <w:rPr>
                <w:rFonts w:ascii="Arial" w:hAnsi="Arial" w:cs="Arial"/>
                <w:sz w:val="24"/>
                <w:szCs w:val="24"/>
              </w:rPr>
              <w:t>.</w:t>
            </w:r>
          </w:p>
        </w:tc>
      </w:tr>
      <w:tr w:rsidR="007E652E" w:rsidRPr="007E652E" w:rsidTr="003A227E">
        <w:tc>
          <w:tcPr>
            <w:tcW w:w="2500" w:type="pct"/>
          </w:tcPr>
          <w:p w:rsidR="008247F8" w:rsidRPr="007E652E" w:rsidRDefault="008247F8" w:rsidP="006A508E">
            <w:pPr>
              <w:spacing w:before="240" w:after="240"/>
              <w:jc w:val="both"/>
              <w:rPr>
                <w:rFonts w:ascii="Arial" w:hAnsi="Arial" w:cs="Arial"/>
                <w:iCs/>
                <w:sz w:val="24"/>
                <w:szCs w:val="24"/>
              </w:rPr>
            </w:pPr>
            <w:r w:rsidRPr="007E652E">
              <w:rPr>
                <w:rFonts w:ascii="Arial" w:hAnsi="Arial" w:cs="Arial"/>
                <w:iCs/>
                <w:sz w:val="24"/>
                <w:szCs w:val="24"/>
              </w:rPr>
              <w:t xml:space="preserve">Artículo 2 </w:t>
            </w:r>
          </w:p>
          <w:p w:rsidR="008247F8" w:rsidRPr="007E652E" w:rsidRDefault="008247F8" w:rsidP="003A227E">
            <w:pPr>
              <w:spacing w:before="240" w:after="240"/>
              <w:rPr>
                <w:rFonts w:ascii="Arial" w:hAnsi="Arial" w:cs="Arial"/>
                <w:sz w:val="24"/>
                <w:szCs w:val="24"/>
              </w:rPr>
            </w:pPr>
            <w:r w:rsidRPr="007E652E">
              <w:rPr>
                <w:rFonts w:ascii="Arial" w:hAnsi="Arial" w:cs="Arial"/>
                <w:bCs/>
                <w:sz w:val="24"/>
                <w:szCs w:val="24"/>
              </w:rPr>
              <w:t xml:space="preserve">Definiciones </w:t>
            </w:r>
          </w:p>
        </w:tc>
        <w:tc>
          <w:tcPr>
            <w:tcW w:w="2500" w:type="pct"/>
          </w:tcPr>
          <w:p w:rsidR="004A7D87" w:rsidRPr="007E652E" w:rsidRDefault="004A7D87" w:rsidP="003A227E">
            <w:pPr>
              <w:spacing w:before="240" w:after="240"/>
              <w:jc w:val="both"/>
              <w:rPr>
                <w:rFonts w:ascii="Arial" w:hAnsi="Arial" w:cs="Arial"/>
                <w:sz w:val="24"/>
                <w:szCs w:val="24"/>
              </w:rPr>
            </w:pPr>
            <w:r w:rsidRPr="007E652E">
              <w:rPr>
                <w:rFonts w:ascii="Arial" w:hAnsi="Arial" w:cs="Arial"/>
                <w:sz w:val="24"/>
                <w:szCs w:val="24"/>
              </w:rPr>
              <w:t>A</w:t>
            </w:r>
            <w:r w:rsidR="003A227E" w:rsidRPr="007E652E">
              <w:rPr>
                <w:rFonts w:ascii="Arial" w:hAnsi="Arial" w:cs="Arial"/>
                <w:sz w:val="24"/>
                <w:szCs w:val="24"/>
              </w:rPr>
              <w:t>rts.</w:t>
            </w:r>
            <w:r w:rsidR="007221E2" w:rsidRPr="007E652E">
              <w:rPr>
                <w:rFonts w:ascii="Arial" w:hAnsi="Arial" w:cs="Arial"/>
                <w:sz w:val="24"/>
                <w:szCs w:val="24"/>
              </w:rPr>
              <w:t xml:space="preserve"> </w:t>
            </w:r>
            <w:r w:rsidR="0018553A" w:rsidRPr="007E652E">
              <w:rPr>
                <w:rFonts w:ascii="Arial" w:hAnsi="Arial" w:cs="Arial"/>
                <w:sz w:val="24"/>
                <w:szCs w:val="24"/>
              </w:rPr>
              <w:t>1.1;</w:t>
            </w:r>
            <w:r w:rsidR="00F20B5B" w:rsidRPr="007E652E">
              <w:rPr>
                <w:rFonts w:ascii="Arial" w:hAnsi="Arial" w:cs="Arial"/>
                <w:sz w:val="24"/>
                <w:szCs w:val="24"/>
              </w:rPr>
              <w:t xml:space="preserve"> 1.2</w:t>
            </w:r>
            <w:r w:rsidR="003A227E" w:rsidRPr="007E652E">
              <w:rPr>
                <w:rFonts w:ascii="Arial" w:hAnsi="Arial" w:cs="Arial"/>
                <w:sz w:val="24"/>
                <w:szCs w:val="24"/>
              </w:rPr>
              <w:t>, 3.4 -2º párrafo-</w:t>
            </w:r>
            <w:r w:rsidR="0018553A" w:rsidRPr="007E652E">
              <w:rPr>
                <w:rFonts w:ascii="Arial" w:hAnsi="Arial" w:cs="Arial"/>
                <w:sz w:val="24"/>
                <w:szCs w:val="24"/>
              </w:rPr>
              <w:t xml:space="preserve"> y 4 -2º párrafo-</w:t>
            </w:r>
          </w:p>
        </w:tc>
      </w:tr>
      <w:tr w:rsidR="007E652E" w:rsidRPr="007E652E" w:rsidTr="003A227E">
        <w:tc>
          <w:tcPr>
            <w:tcW w:w="2500" w:type="pct"/>
          </w:tcPr>
          <w:p w:rsidR="005F2825" w:rsidRPr="007E652E" w:rsidRDefault="005F2825" w:rsidP="006A508E">
            <w:pPr>
              <w:spacing w:before="240" w:after="240"/>
              <w:jc w:val="both"/>
              <w:rPr>
                <w:rFonts w:ascii="Arial" w:hAnsi="Arial" w:cs="Arial"/>
                <w:iCs/>
                <w:sz w:val="24"/>
                <w:szCs w:val="24"/>
              </w:rPr>
            </w:pPr>
            <w:r w:rsidRPr="007E652E">
              <w:rPr>
                <w:rFonts w:ascii="Arial" w:hAnsi="Arial" w:cs="Arial"/>
                <w:iCs/>
                <w:sz w:val="24"/>
                <w:szCs w:val="24"/>
              </w:rPr>
              <w:t>Artículo 3</w:t>
            </w:r>
          </w:p>
          <w:p w:rsidR="008247F8" w:rsidRPr="007E652E" w:rsidRDefault="005F2825" w:rsidP="003A227E">
            <w:pPr>
              <w:spacing w:before="240" w:after="240"/>
              <w:rPr>
                <w:rFonts w:ascii="Arial" w:hAnsi="Arial" w:cs="Arial"/>
                <w:sz w:val="24"/>
                <w:szCs w:val="24"/>
              </w:rPr>
            </w:pPr>
            <w:r w:rsidRPr="007E652E">
              <w:rPr>
                <w:rFonts w:ascii="Arial" w:hAnsi="Arial" w:cs="Arial"/>
                <w:iCs/>
                <w:sz w:val="24"/>
                <w:szCs w:val="24"/>
              </w:rPr>
              <w:t>Obtención, utilización y revelación lícitas de secretos comerciales</w:t>
            </w:r>
          </w:p>
        </w:tc>
        <w:tc>
          <w:tcPr>
            <w:tcW w:w="2500" w:type="pct"/>
          </w:tcPr>
          <w:p w:rsidR="00A86033" w:rsidRPr="007E652E" w:rsidRDefault="00A86033" w:rsidP="003A227E">
            <w:pPr>
              <w:spacing w:before="240" w:after="240"/>
              <w:jc w:val="both"/>
              <w:rPr>
                <w:rFonts w:ascii="Arial" w:hAnsi="Arial" w:cs="Arial"/>
                <w:sz w:val="24"/>
                <w:szCs w:val="24"/>
              </w:rPr>
            </w:pPr>
            <w:r w:rsidRPr="007E652E">
              <w:rPr>
                <w:rFonts w:ascii="Arial" w:hAnsi="Arial" w:cs="Arial"/>
                <w:sz w:val="24"/>
                <w:szCs w:val="24"/>
              </w:rPr>
              <w:t>A</w:t>
            </w:r>
            <w:r w:rsidR="003A227E" w:rsidRPr="007E652E">
              <w:rPr>
                <w:rFonts w:ascii="Arial" w:hAnsi="Arial" w:cs="Arial"/>
                <w:sz w:val="24"/>
                <w:szCs w:val="24"/>
              </w:rPr>
              <w:t>rt.</w:t>
            </w:r>
            <w:r w:rsidRPr="007E652E">
              <w:rPr>
                <w:rFonts w:ascii="Arial" w:hAnsi="Arial" w:cs="Arial"/>
                <w:sz w:val="24"/>
                <w:szCs w:val="24"/>
              </w:rPr>
              <w:t xml:space="preserve"> </w:t>
            </w:r>
            <w:r w:rsidR="00F20B5B" w:rsidRPr="007E652E">
              <w:rPr>
                <w:rFonts w:ascii="Arial" w:hAnsi="Arial" w:cs="Arial"/>
                <w:sz w:val="24"/>
                <w:szCs w:val="24"/>
              </w:rPr>
              <w:t>2</w:t>
            </w:r>
            <w:r w:rsidR="003A227E" w:rsidRPr="007E652E">
              <w:rPr>
                <w:rFonts w:ascii="Arial" w:hAnsi="Arial" w:cs="Arial"/>
                <w:sz w:val="24"/>
                <w:szCs w:val="24"/>
              </w:rPr>
              <w:t>.1 y 2.2</w:t>
            </w:r>
          </w:p>
        </w:tc>
      </w:tr>
      <w:tr w:rsidR="007E652E" w:rsidRPr="007E652E" w:rsidTr="003A227E">
        <w:tc>
          <w:tcPr>
            <w:tcW w:w="2500" w:type="pct"/>
          </w:tcPr>
          <w:p w:rsidR="005F2825" w:rsidRPr="007E652E" w:rsidRDefault="005F2825" w:rsidP="006A508E">
            <w:pPr>
              <w:spacing w:before="240" w:after="240"/>
              <w:jc w:val="both"/>
              <w:rPr>
                <w:rFonts w:ascii="Arial" w:hAnsi="Arial" w:cs="Arial"/>
                <w:iCs/>
                <w:sz w:val="24"/>
                <w:szCs w:val="24"/>
              </w:rPr>
            </w:pPr>
            <w:r w:rsidRPr="007E652E">
              <w:rPr>
                <w:rFonts w:ascii="Arial" w:hAnsi="Arial" w:cs="Arial"/>
                <w:iCs/>
                <w:sz w:val="24"/>
                <w:szCs w:val="24"/>
              </w:rPr>
              <w:t>Artículo 4</w:t>
            </w:r>
          </w:p>
          <w:p w:rsidR="008247F8" w:rsidRPr="007E652E" w:rsidRDefault="005F2825" w:rsidP="003A227E">
            <w:pPr>
              <w:spacing w:before="240" w:after="240"/>
              <w:rPr>
                <w:rFonts w:ascii="Arial" w:hAnsi="Arial" w:cs="Arial"/>
                <w:sz w:val="24"/>
                <w:szCs w:val="24"/>
              </w:rPr>
            </w:pPr>
            <w:r w:rsidRPr="007E652E">
              <w:rPr>
                <w:rFonts w:ascii="Arial" w:hAnsi="Arial" w:cs="Arial"/>
                <w:iCs/>
                <w:sz w:val="24"/>
                <w:szCs w:val="24"/>
              </w:rPr>
              <w:t>Obtención, utilización y revelación ilícitas de secretos comerciales</w:t>
            </w:r>
          </w:p>
        </w:tc>
        <w:tc>
          <w:tcPr>
            <w:tcW w:w="2500" w:type="pct"/>
          </w:tcPr>
          <w:p w:rsidR="00CC7AE8" w:rsidRPr="007E652E" w:rsidRDefault="00CC7AE8" w:rsidP="00A34F28">
            <w:pPr>
              <w:spacing w:before="240" w:after="240"/>
              <w:jc w:val="both"/>
              <w:rPr>
                <w:rFonts w:ascii="Arial" w:hAnsi="Arial" w:cs="Arial"/>
                <w:sz w:val="24"/>
                <w:szCs w:val="24"/>
              </w:rPr>
            </w:pPr>
            <w:r w:rsidRPr="007E652E">
              <w:rPr>
                <w:rFonts w:ascii="Arial" w:hAnsi="Arial" w:cs="Arial"/>
                <w:sz w:val="24"/>
                <w:szCs w:val="24"/>
              </w:rPr>
              <w:t>A</w:t>
            </w:r>
            <w:r w:rsidR="003A227E" w:rsidRPr="007E652E">
              <w:rPr>
                <w:rFonts w:ascii="Arial" w:hAnsi="Arial" w:cs="Arial"/>
                <w:sz w:val="24"/>
                <w:szCs w:val="24"/>
              </w:rPr>
              <w:t>rt.</w:t>
            </w:r>
            <w:r w:rsidRPr="007E652E">
              <w:rPr>
                <w:rFonts w:ascii="Arial" w:hAnsi="Arial" w:cs="Arial"/>
                <w:sz w:val="24"/>
                <w:szCs w:val="24"/>
              </w:rPr>
              <w:t xml:space="preserve"> </w:t>
            </w:r>
            <w:r w:rsidR="0018553A" w:rsidRPr="007E652E">
              <w:rPr>
                <w:rFonts w:ascii="Arial" w:hAnsi="Arial" w:cs="Arial"/>
                <w:sz w:val="24"/>
                <w:szCs w:val="24"/>
              </w:rPr>
              <w:t>3</w:t>
            </w:r>
            <w:r w:rsidR="00A34F28" w:rsidRPr="007E652E">
              <w:rPr>
                <w:rFonts w:ascii="Arial" w:hAnsi="Arial" w:cs="Arial"/>
                <w:sz w:val="24"/>
                <w:szCs w:val="24"/>
              </w:rPr>
              <w:t>.1, 3.2, 3.3 y 3.4 -1</w:t>
            </w:r>
            <w:r w:rsidR="00A34F28" w:rsidRPr="007E652E">
              <w:rPr>
                <w:rFonts w:ascii="Arial" w:hAnsi="Arial" w:cs="Arial"/>
                <w:sz w:val="24"/>
                <w:szCs w:val="24"/>
                <w:vertAlign w:val="superscript"/>
              </w:rPr>
              <w:t>er</w:t>
            </w:r>
            <w:r w:rsidR="00A34F28" w:rsidRPr="007E652E">
              <w:rPr>
                <w:rFonts w:ascii="Arial" w:hAnsi="Arial" w:cs="Arial"/>
                <w:sz w:val="24"/>
                <w:szCs w:val="24"/>
              </w:rPr>
              <w:t xml:space="preserve"> párrafo-</w:t>
            </w:r>
          </w:p>
        </w:tc>
      </w:tr>
      <w:tr w:rsidR="007E652E" w:rsidRPr="007E652E" w:rsidTr="003A227E">
        <w:tc>
          <w:tcPr>
            <w:tcW w:w="2500" w:type="pct"/>
          </w:tcPr>
          <w:p w:rsidR="005F2825" w:rsidRPr="007E652E" w:rsidRDefault="005F2825" w:rsidP="006A508E">
            <w:pPr>
              <w:spacing w:before="240" w:after="240"/>
              <w:jc w:val="both"/>
              <w:rPr>
                <w:rFonts w:ascii="Arial" w:hAnsi="Arial" w:cs="Arial"/>
                <w:iCs/>
                <w:sz w:val="24"/>
                <w:szCs w:val="24"/>
              </w:rPr>
            </w:pPr>
            <w:r w:rsidRPr="007E652E">
              <w:rPr>
                <w:rFonts w:ascii="Arial" w:hAnsi="Arial" w:cs="Arial"/>
                <w:iCs/>
                <w:sz w:val="24"/>
                <w:szCs w:val="24"/>
              </w:rPr>
              <w:t>Artículo 5</w:t>
            </w:r>
          </w:p>
          <w:p w:rsidR="008247F8" w:rsidRPr="007E652E" w:rsidRDefault="005F2825" w:rsidP="006A508E">
            <w:pPr>
              <w:spacing w:before="240" w:after="240"/>
              <w:jc w:val="both"/>
              <w:rPr>
                <w:rFonts w:ascii="Arial" w:hAnsi="Arial" w:cs="Arial"/>
                <w:sz w:val="24"/>
                <w:szCs w:val="24"/>
              </w:rPr>
            </w:pPr>
            <w:r w:rsidRPr="007E652E">
              <w:rPr>
                <w:rFonts w:ascii="Arial" w:hAnsi="Arial" w:cs="Arial"/>
                <w:iCs/>
                <w:sz w:val="24"/>
                <w:szCs w:val="24"/>
              </w:rPr>
              <w:t>Excepciones</w:t>
            </w:r>
          </w:p>
        </w:tc>
        <w:tc>
          <w:tcPr>
            <w:tcW w:w="2500" w:type="pct"/>
          </w:tcPr>
          <w:p w:rsidR="00CC7AE8" w:rsidRPr="007E652E" w:rsidRDefault="00A34F28" w:rsidP="006A508E">
            <w:pPr>
              <w:spacing w:before="240" w:after="240"/>
              <w:jc w:val="both"/>
              <w:rPr>
                <w:rFonts w:ascii="Arial" w:hAnsi="Arial" w:cs="Arial"/>
                <w:sz w:val="24"/>
                <w:szCs w:val="24"/>
              </w:rPr>
            </w:pPr>
            <w:r w:rsidRPr="007E652E">
              <w:rPr>
                <w:rFonts w:ascii="Arial" w:hAnsi="Arial" w:cs="Arial"/>
                <w:sz w:val="24"/>
                <w:szCs w:val="24"/>
              </w:rPr>
              <w:t>Art. 2.3</w:t>
            </w:r>
          </w:p>
        </w:tc>
      </w:tr>
      <w:tr w:rsidR="007E652E" w:rsidRPr="007E652E" w:rsidTr="003A227E">
        <w:tc>
          <w:tcPr>
            <w:tcW w:w="2500" w:type="pct"/>
          </w:tcPr>
          <w:p w:rsidR="005F2825" w:rsidRPr="007E652E" w:rsidRDefault="005F2825" w:rsidP="006A508E">
            <w:pPr>
              <w:spacing w:before="240" w:after="240"/>
              <w:jc w:val="both"/>
              <w:rPr>
                <w:rFonts w:ascii="Arial" w:hAnsi="Arial" w:cs="Arial"/>
                <w:iCs/>
                <w:sz w:val="24"/>
                <w:szCs w:val="24"/>
              </w:rPr>
            </w:pPr>
            <w:r w:rsidRPr="007E652E">
              <w:rPr>
                <w:rFonts w:ascii="Arial" w:hAnsi="Arial" w:cs="Arial"/>
                <w:iCs/>
                <w:sz w:val="24"/>
                <w:szCs w:val="24"/>
              </w:rPr>
              <w:t>Artículo 6</w:t>
            </w:r>
          </w:p>
          <w:p w:rsidR="008247F8" w:rsidRPr="007E652E" w:rsidRDefault="005F2825" w:rsidP="006A508E">
            <w:pPr>
              <w:spacing w:before="240" w:after="240"/>
              <w:jc w:val="both"/>
              <w:rPr>
                <w:rFonts w:ascii="Arial" w:hAnsi="Arial" w:cs="Arial"/>
                <w:sz w:val="24"/>
                <w:szCs w:val="24"/>
              </w:rPr>
            </w:pPr>
            <w:r w:rsidRPr="007E652E">
              <w:rPr>
                <w:rFonts w:ascii="Arial" w:hAnsi="Arial" w:cs="Arial"/>
                <w:iCs/>
                <w:sz w:val="24"/>
                <w:szCs w:val="24"/>
              </w:rPr>
              <w:t>Obligación general</w:t>
            </w:r>
          </w:p>
        </w:tc>
        <w:tc>
          <w:tcPr>
            <w:tcW w:w="2500" w:type="pct"/>
          </w:tcPr>
          <w:p w:rsidR="00CC7AE8" w:rsidRPr="007E652E" w:rsidRDefault="00A34F28" w:rsidP="006A508E">
            <w:pPr>
              <w:spacing w:before="240" w:after="240"/>
              <w:jc w:val="both"/>
              <w:rPr>
                <w:rFonts w:ascii="Arial" w:hAnsi="Arial" w:cs="Arial"/>
                <w:sz w:val="24"/>
                <w:szCs w:val="24"/>
              </w:rPr>
            </w:pPr>
            <w:r w:rsidRPr="007E652E">
              <w:rPr>
                <w:rFonts w:ascii="Arial" w:hAnsi="Arial" w:cs="Arial"/>
                <w:sz w:val="24"/>
                <w:szCs w:val="24"/>
              </w:rPr>
              <w:t xml:space="preserve">Art. </w:t>
            </w:r>
            <w:r w:rsidR="00CD76A4">
              <w:rPr>
                <w:rFonts w:ascii="Arial" w:hAnsi="Arial" w:cs="Arial"/>
                <w:sz w:val="24"/>
                <w:szCs w:val="24"/>
              </w:rPr>
              <w:t>8</w:t>
            </w:r>
            <w:r w:rsidRPr="007E652E">
              <w:rPr>
                <w:rFonts w:ascii="Arial" w:hAnsi="Arial" w:cs="Arial"/>
                <w:sz w:val="24"/>
                <w:szCs w:val="24"/>
              </w:rPr>
              <w:t xml:space="preserve"> -1</w:t>
            </w:r>
            <w:r w:rsidRPr="007E652E">
              <w:rPr>
                <w:rFonts w:ascii="Arial" w:hAnsi="Arial" w:cs="Arial"/>
                <w:sz w:val="24"/>
                <w:szCs w:val="24"/>
                <w:vertAlign w:val="superscript"/>
              </w:rPr>
              <w:t>er</w:t>
            </w:r>
            <w:r w:rsidRPr="007E652E">
              <w:rPr>
                <w:rFonts w:ascii="Arial" w:hAnsi="Arial" w:cs="Arial"/>
                <w:sz w:val="24"/>
                <w:szCs w:val="24"/>
              </w:rPr>
              <w:t xml:space="preserve"> párrafo-</w:t>
            </w:r>
          </w:p>
        </w:tc>
      </w:tr>
      <w:tr w:rsidR="007E652E" w:rsidRPr="007E652E" w:rsidTr="003A227E">
        <w:tc>
          <w:tcPr>
            <w:tcW w:w="2500" w:type="pct"/>
          </w:tcPr>
          <w:p w:rsidR="008247F8" w:rsidRPr="007E652E" w:rsidRDefault="008247F8" w:rsidP="006A508E">
            <w:pPr>
              <w:spacing w:before="240" w:after="240"/>
              <w:jc w:val="both"/>
              <w:rPr>
                <w:rFonts w:ascii="Arial" w:hAnsi="Arial" w:cs="Arial"/>
                <w:iCs/>
                <w:sz w:val="24"/>
                <w:szCs w:val="24"/>
              </w:rPr>
            </w:pPr>
            <w:r w:rsidRPr="007E652E">
              <w:rPr>
                <w:rFonts w:ascii="Arial" w:hAnsi="Arial" w:cs="Arial"/>
                <w:iCs/>
                <w:sz w:val="24"/>
                <w:szCs w:val="24"/>
              </w:rPr>
              <w:lastRenderedPageBreak/>
              <w:t xml:space="preserve">Artículo 7 </w:t>
            </w:r>
          </w:p>
          <w:p w:rsidR="008247F8" w:rsidRPr="007E652E" w:rsidRDefault="005F2825" w:rsidP="006A508E">
            <w:pPr>
              <w:spacing w:before="240" w:after="240"/>
              <w:jc w:val="both"/>
              <w:rPr>
                <w:rFonts w:ascii="Arial" w:hAnsi="Arial" w:cs="Arial"/>
                <w:sz w:val="24"/>
                <w:szCs w:val="24"/>
              </w:rPr>
            </w:pPr>
            <w:r w:rsidRPr="007E652E">
              <w:rPr>
                <w:rFonts w:ascii="Arial" w:hAnsi="Arial" w:cs="Arial"/>
                <w:bCs/>
                <w:sz w:val="24"/>
                <w:szCs w:val="24"/>
              </w:rPr>
              <w:t>Proporcionalidad y abuso procesal</w:t>
            </w:r>
            <w:r w:rsidR="008247F8" w:rsidRPr="007E652E">
              <w:rPr>
                <w:rFonts w:ascii="Arial" w:hAnsi="Arial" w:cs="Arial"/>
                <w:sz w:val="24"/>
                <w:szCs w:val="24"/>
              </w:rPr>
              <w:t xml:space="preserve"> </w:t>
            </w:r>
          </w:p>
        </w:tc>
        <w:tc>
          <w:tcPr>
            <w:tcW w:w="2500" w:type="pct"/>
          </w:tcPr>
          <w:p w:rsidR="002D4BD6" w:rsidRPr="00614F2F" w:rsidRDefault="002D4BD6" w:rsidP="0038182C">
            <w:pPr>
              <w:spacing w:before="240" w:after="240"/>
              <w:jc w:val="both"/>
              <w:rPr>
                <w:rFonts w:ascii="Arial" w:hAnsi="Arial" w:cs="Arial"/>
                <w:bCs/>
                <w:sz w:val="24"/>
                <w:szCs w:val="24"/>
              </w:rPr>
            </w:pPr>
            <w:r>
              <w:rPr>
                <w:rFonts w:ascii="Arial" w:hAnsi="Arial" w:cs="Arial"/>
                <w:bCs/>
                <w:sz w:val="24"/>
                <w:szCs w:val="24"/>
              </w:rPr>
              <w:t>Art. 16</w:t>
            </w:r>
          </w:p>
          <w:p w:rsidR="00C82D81" w:rsidRPr="002D4BD6" w:rsidRDefault="00806921" w:rsidP="0038182C">
            <w:pPr>
              <w:spacing w:before="240" w:after="240"/>
              <w:jc w:val="both"/>
              <w:rPr>
                <w:rFonts w:ascii="Arial" w:hAnsi="Arial" w:cs="Arial"/>
                <w:i/>
                <w:sz w:val="24"/>
                <w:szCs w:val="24"/>
              </w:rPr>
            </w:pPr>
            <w:r w:rsidRPr="007E652E">
              <w:rPr>
                <w:rFonts w:ascii="Arial" w:hAnsi="Arial" w:cs="Arial"/>
                <w:bCs/>
                <w:i/>
                <w:sz w:val="24"/>
                <w:szCs w:val="24"/>
              </w:rPr>
              <w:t>LEC: AR</w:t>
            </w:r>
            <w:r w:rsidR="0038182C" w:rsidRPr="007E652E">
              <w:rPr>
                <w:rFonts w:ascii="Arial" w:hAnsi="Arial" w:cs="Arial"/>
                <w:bCs/>
                <w:i/>
                <w:sz w:val="24"/>
                <w:szCs w:val="24"/>
              </w:rPr>
              <w:t>TS.</w:t>
            </w:r>
            <w:r w:rsidRPr="007E652E">
              <w:rPr>
                <w:rFonts w:ascii="Arial" w:hAnsi="Arial" w:cs="Arial"/>
                <w:bCs/>
                <w:i/>
                <w:sz w:val="24"/>
                <w:szCs w:val="24"/>
              </w:rPr>
              <w:t xml:space="preserve"> 247 y </w:t>
            </w:r>
            <w:r w:rsidR="00E46273" w:rsidRPr="007E652E">
              <w:rPr>
                <w:rFonts w:ascii="Arial" w:hAnsi="Arial" w:cs="Arial"/>
                <w:bCs/>
                <w:i/>
                <w:sz w:val="24"/>
                <w:szCs w:val="24"/>
              </w:rPr>
              <w:t>256</w:t>
            </w:r>
            <w:r w:rsidR="00014A37" w:rsidRPr="007E652E">
              <w:rPr>
                <w:rFonts w:ascii="Arial" w:hAnsi="Arial" w:cs="Arial"/>
                <w:bCs/>
                <w:i/>
                <w:sz w:val="24"/>
                <w:szCs w:val="24"/>
              </w:rPr>
              <w:t>. Exposición de motivos.</w:t>
            </w:r>
          </w:p>
        </w:tc>
      </w:tr>
      <w:tr w:rsidR="007E652E" w:rsidRPr="007E652E" w:rsidTr="003A227E">
        <w:tc>
          <w:tcPr>
            <w:tcW w:w="2500" w:type="pct"/>
          </w:tcPr>
          <w:p w:rsidR="008247F8" w:rsidRPr="007E652E" w:rsidRDefault="008247F8" w:rsidP="006A508E">
            <w:pPr>
              <w:spacing w:before="240" w:after="240"/>
              <w:jc w:val="both"/>
              <w:rPr>
                <w:rFonts w:ascii="Arial" w:hAnsi="Arial" w:cs="Arial"/>
                <w:iCs/>
                <w:sz w:val="24"/>
                <w:szCs w:val="24"/>
              </w:rPr>
            </w:pPr>
            <w:r w:rsidRPr="007E652E">
              <w:rPr>
                <w:rFonts w:ascii="Arial" w:hAnsi="Arial" w:cs="Arial"/>
                <w:iCs/>
                <w:sz w:val="24"/>
                <w:szCs w:val="24"/>
              </w:rPr>
              <w:t xml:space="preserve">Artículo 8 </w:t>
            </w:r>
          </w:p>
          <w:p w:rsidR="008247F8" w:rsidRPr="007E652E" w:rsidRDefault="005F2825" w:rsidP="006A508E">
            <w:pPr>
              <w:spacing w:before="240" w:after="240"/>
              <w:jc w:val="both"/>
              <w:rPr>
                <w:rFonts w:ascii="Arial" w:hAnsi="Arial" w:cs="Arial"/>
                <w:sz w:val="24"/>
                <w:szCs w:val="24"/>
              </w:rPr>
            </w:pPr>
            <w:r w:rsidRPr="007E652E">
              <w:rPr>
                <w:rFonts w:ascii="Arial" w:hAnsi="Arial" w:cs="Arial"/>
                <w:bCs/>
                <w:sz w:val="24"/>
                <w:szCs w:val="24"/>
              </w:rPr>
              <w:t>Plazo de prescripción</w:t>
            </w:r>
          </w:p>
        </w:tc>
        <w:tc>
          <w:tcPr>
            <w:tcW w:w="2500" w:type="pct"/>
          </w:tcPr>
          <w:p w:rsidR="004F47B4" w:rsidRPr="007E652E" w:rsidRDefault="0038182C" w:rsidP="006A508E">
            <w:pPr>
              <w:spacing w:before="240" w:after="240"/>
              <w:jc w:val="both"/>
              <w:rPr>
                <w:rFonts w:ascii="Arial" w:hAnsi="Arial" w:cs="Arial"/>
                <w:sz w:val="24"/>
                <w:szCs w:val="24"/>
              </w:rPr>
            </w:pPr>
            <w:r w:rsidRPr="007E652E">
              <w:rPr>
                <w:rFonts w:ascii="Arial" w:hAnsi="Arial" w:cs="Arial"/>
                <w:sz w:val="24"/>
                <w:szCs w:val="24"/>
              </w:rPr>
              <w:t xml:space="preserve">Art. </w:t>
            </w:r>
            <w:r w:rsidR="00CD76A4">
              <w:rPr>
                <w:rFonts w:ascii="Arial" w:hAnsi="Arial" w:cs="Arial"/>
                <w:sz w:val="24"/>
                <w:szCs w:val="24"/>
              </w:rPr>
              <w:t>11</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9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Preservación de la confidencialidad de los secretos comerciales durante el proceso judicial</w:t>
            </w:r>
          </w:p>
        </w:tc>
        <w:tc>
          <w:tcPr>
            <w:tcW w:w="2500" w:type="pct"/>
          </w:tcPr>
          <w:p w:rsidR="00F86AE8" w:rsidRPr="007E652E" w:rsidRDefault="0038182C" w:rsidP="0038182C">
            <w:pPr>
              <w:spacing w:before="240" w:after="240"/>
              <w:jc w:val="both"/>
              <w:rPr>
                <w:rFonts w:ascii="Arial" w:hAnsi="Arial" w:cs="Arial"/>
                <w:sz w:val="24"/>
                <w:szCs w:val="24"/>
              </w:rPr>
            </w:pPr>
            <w:r w:rsidRPr="007E652E">
              <w:rPr>
                <w:rFonts w:ascii="Arial" w:hAnsi="Arial" w:cs="Arial"/>
                <w:sz w:val="24"/>
                <w:szCs w:val="24"/>
              </w:rPr>
              <w:t>Art. 1</w:t>
            </w:r>
            <w:r w:rsidR="00CD76A4">
              <w:rPr>
                <w:rFonts w:ascii="Arial" w:hAnsi="Arial" w:cs="Arial"/>
                <w:sz w:val="24"/>
                <w:szCs w:val="24"/>
              </w:rPr>
              <w:t>5</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10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Medidas provisionales y cautelares</w:t>
            </w:r>
          </w:p>
        </w:tc>
        <w:tc>
          <w:tcPr>
            <w:tcW w:w="2500" w:type="pct"/>
          </w:tcPr>
          <w:p w:rsidR="0038182C" w:rsidRPr="007E652E" w:rsidRDefault="0038182C" w:rsidP="0038182C">
            <w:pPr>
              <w:spacing w:before="240" w:after="240"/>
              <w:jc w:val="both"/>
              <w:rPr>
                <w:rFonts w:ascii="Arial" w:hAnsi="Arial" w:cs="Arial"/>
                <w:sz w:val="24"/>
                <w:szCs w:val="24"/>
              </w:rPr>
            </w:pPr>
            <w:r w:rsidRPr="007E652E">
              <w:rPr>
                <w:rFonts w:ascii="Arial" w:hAnsi="Arial" w:cs="Arial"/>
                <w:sz w:val="24"/>
                <w:szCs w:val="24"/>
              </w:rPr>
              <w:t>Art</w:t>
            </w:r>
            <w:r w:rsidR="006B202A" w:rsidRPr="007E652E">
              <w:rPr>
                <w:rFonts w:ascii="Arial" w:hAnsi="Arial" w:cs="Arial"/>
                <w:sz w:val="24"/>
                <w:szCs w:val="24"/>
              </w:rPr>
              <w:t>s</w:t>
            </w:r>
            <w:r w:rsidRPr="007E652E">
              <w:rPr>
                <w:rFonts w:ascii="Arial" w:hAnsi="Arial" w:cs="Arial"/>
                <w:sz w:val="24"/>
                <w:szCs w:val="24"/>
              </w:rPr>
              <w:t xml:space="preserve">. </w:t>
            </w:r>
            <w:r w:rsidR="00CD76A4">
              <w:rPr>
                <w:rFonts w:ascii="Arial" w:hAnsi="Arial" w:cs="Arial"/>
                <w:sz w:val="24"/>
                <w:szCs w:val="24"/>
              </w:rPr>
              <w:t>2</w:t>
            </w:r>
            <w:r w:rsidR="002D4BD6">
              <w:rPr>
                <w:rFonts w:ascii="Arial" w:hAnsi="Arial" w:cs="Arial"/>
                <w:sz w:val="24"/>
                <w:szCs w:val="24"/>
              </w:rPr>
              <w:t>1</w:t>
            </w:r>
            <w:r w:rsidR="006B202A" w:rsidRPr="007E652E">
              <w:rPr>
                <w:rFonts w:ascii="Arial" w:hAnsi="Arial" w:cs="Arial"/>
                <w:sz w:val="24"/>
                <w:szCs w:val="24"/>
              </w:rPr>
              <w:t xml:space="preserve"> y </w:t>
            </w:r>
            <w:r w:rsidR="00CD76A4">
              <w:rPr>
                <w:rFonts w:ascii="Arial" w:hAnsi="Arial" w:cs="Arial"/>
                <w:sz w:val="24"/>
                <w:szCs w:val="24"/>
              </w:rPr>
              <w:t>2</w:t>
            </w:r>
            <w:r w:rsidR="002D4BD6">
              <w:rPr>
                <w:rFonts w:ascii="Arial" w:hAnsi="Arial" w:cs="Arial"/>
                <w:sz w:val="24"/>
                <w:szCs w:val="24"/>
              </w:rPr>
              <w:t>3</w:t>
            </w:r>
          </w:p>
          <w:p w:rsidR="00F06113" w:rsidRPr="007E652E" w:rsidRDefault="0038182C" w:rsidP="0038182C">
            <w:pPr>
              <w:spacing w:before="240" w:after="240"/>
              <w:jc w:val="both"/>
              <w:rPr>
                <w:rFonts w:ascii="Arial" w:hAnsi="Arial" w:cs="Arial"/>
                <w:sz w:val="24"/>
                <w:szCs w:val="24"/>
              </w:rPr>
            </w:pPr>
            <w:r w:rsidRPr="007E652E">
              <w:rPr>
                <w:rFonts w:ascii="Arial" w:hAnsi="Arial" w:cs="Arial"/>
                <w:bCs/>
                <w:i/>
                <w:sz w:val="24"/>
                <w:szCs w:val="24"/>
              </w:rPr>
              <w:t xml:space="preserve">LEC: ARTS. </w:t>
            </w:r>
            <w:r w:rsidR="00F11D45" w:rsidRPr="007E652E">
              <w:rPr>
                <w:rFonts w:ascii="Arial" w:hAnsi="Arial" w:cs="Arial"/>
                <w:i/>
                <w:sz w:val="24"/>
                <w:szCs w:val="24"/>
              </w:rPr>
              <w:t>74</w:t>
            </w:r>
            <w:r w:rsidRPr="007E652E">
              <w:rPr>
                <w:rFonts w:ascii="Arial" w:hAnsi="Arial" w:cs="Arial"/>
                <w:i/>
                <w:sz w:val="24"/>
                <w:szCs w:val="24"/>
              </w:rPr>
              <w:t>6 y 747</w:t>
            </w:r>
            <w:r w:rsidR="00F11D45" w:rsidRPr="007E652E">
              <w:rPr>
                <w:rFonts w:ascii="Arial" w:hAnsi="Arial" w:cs="Arial"/>
                <w:sz w:val="24"/>
                <w:szCs w:val="24"/>
              </w:rPr>
              <w:t xml:space="preserve"> </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11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Condiciones de las solicitudes y medidas de salvaguarda</w:t>
            </w:r>
          </w:p>
        </w:tc>
        <w:tc>
          <w:tcPr>
            <w:tcW w:w="2500" w:type="pct"/>
          </w:tcPr>
          <w:p w:rsidR="006B202A" w:rsidRPr="007E652E" w:rsidRDefault="006B202A" w:rsidP="006B3924">
            <w:pPr>
              <w:spacing w:before="240" w:after="240"/>
              <w:jc w:val="both"/>
              <w:rPr>
                <w:rFonts w:ascii="Arial" w:hAnsi="Arial" w:cs="Arial"/>
                <w:sz w:val="24"/>
                <w:szCs w:val="24"/>
              </w:rPr>
            </w:pPr>
            <w:r w:rsidRPr="007E652E">
              <w:rPr>
                <w:rFonts w:ascii="Arial" w:hAnsi="Arial" w:cs="Arial"/>
                <w:sz w:val="24"/>
                <w:szCs w:val="24"/>
              </w:rPr>
              <w:t xml:space="preserve">Arts. </w:t>
            </w:r>
            <w:r w:rsidR="00CD76A4">
              <w:rPr>
                <w:rFonts w:ascii="Arial" w:hAnsi="Arial" w:cs="Arial"/>
                <w:sz w:val="24"/>
                <w:szCs w:val="24"/>
              </w:rPr>
              <w:t>2</w:t>
            </w:r>
            <w:r w:rsidR="002D4BD6">
              <w:rPr>
                <w:rFonts w:ascii="Arial" w:hAnsi="Arial" w:cs="Arial"/>
                <w:sz w:val="24"/>
                <w:szCs w:val="24"/>
              </w:rPr>
              <w:t>2</w:t>
            </w:r>
            <w:r w:rsidRPr="007E652E">
              <w:rPr>
                <w:rFonts w:ascii="Arial" w:hAnsi="Arial" w:cs="Arial"/>
                <w:sz w:val="24"/>
                <w:szCs w:val="24"/>
              </w:rPr>
              <w:t xml:space="preserve">, </w:t>
            </w:r>
            <w:r w:rsidR="00CD76A4">
              <w:rPr>
                <w:rFonts w:ascii="Arial" w:hAnsi="Arial" w:cs="Arial"/>
                <w:sz w:val="24"/>
                <w:szCs w:val="24"/>
              </w:rPr>
              <w:t>2</w:t>
            </w:r>
            <w:r w:rsidR="002D4BD6">
              <w:rPr>
                <w:rFonts w:ascii="Arial" w:hAnsi="Arial" w:cs="Arial"/>
                <w:sz w:val="24"/>
                <w:szCs w:val="24"/>
              </w:rPr>
              <w:t>4</w:t>
            </w:r>
            <w:r w:rsidRPr="007E652E">
              <w:rPr>
                <w:rFonts w:ascii="Arial" w:hAnsi="Arial" w:cs="Arial"/>
                <w:sz w:val="24"/>
                <w:szCs w:val="24"/>
              </w:rPr>
              <w:t xml:space="preserve"> y 2</w:t>
            </w:r>
            <w:r w:rsidR="002D4BD6">
              <w:rPr>
                <w:rFonts w:ascii="Arial" w:hAnsi="Arial" w:cs="Arial"/>
                <w:sz w:val="24"/>
                <w:szCs w:val="24"/>
              </w:rPr>
              <w:t>5</w:t>
            </w:r>
            <w:r w:rsidRPr="007E652E">
              <w:rPr>
                <w:rFonts w:ascii="Arial" w:hAnsi="Arial" w:cs="Arial"/>
                <w:sz w:val="24"/>
                <w:szCs w:val="24"/>
              </w:rPr>
              <w:t xml:space="preserve"> </w:t>
            </w:r>
          </w:p>
          <w:p w:rsidR="00066B8D" w:rsidRPr="007E652E" w:rsidRDefault="00995050" w:rsidP="00066B8D">
            <w:pPr>
              <w:spacing w:before="240" w:after="240"/>
              <w:jc w:val="both"/>
              <w:rPr>
                <w:rFonts w:ascii="Arial" w:hAnsi="Arial" w:cs="Arial"/>
                <w:i/>
                <w:sz w:val="24"/>
                <w:szCs w:val="24"/>
              </w:rPr>
            </w:pPr>
            <w:r w:rsidRPr="007E652E">
              <w:rPr>
                <w:rFonts w:ascii="Arial" w:hAnsi="Arial" w:cs="Arial"/>
                <w:i/>
                <w:sz w:val="24"/>
                <w:szCs w:val="24"/>
              </w:rPr>
              <w:t>LEC: 728</w:t>
            </w:r>
            <w:r w:rsidR="00CD3051" w:rsidRPr="007E652E">
              <w:rPr>
                <w:rFonts w:ascii="Arial" w:hAnsi="Arial" w:cs="Arial"/>
                <w:i/>
                <w:sz w:val="24"/>
                <w:szCs w:val="24"/>
              </w:rPr>
              <w:t>.2</w:t>
            </w:r>
            <w:r w:rsidRPr="007E652E">
              <w:rPr>
                <w:rFonts w:ascii="Arial" w:hAnsi="Arial" w:cs="Arial"/>
                <w:i/>
                <w:sz w:val="24"/>
                <w:szCs w:val="24"/>
              </w:rPr>
              <w:t>,</w:t>
            </w:r>
            <w:r w:rsidR="00F51D3B" w:rsidRPr="007E652E">
              <w:rPr>
                <w:rFonts w:ascii="Arial" w:hAnsi="Arial" w:cs="Arial"/>
                <w:i/>
                <w:sz w:val="24"/>
                <w:szCs w:val="24"/>
              </w:rPr>
              <w:t xml:space="preserve"> 728.3,</w:t>
            </w:r>
            <w:r w:rsidRPr="007E652E">
              <w:rPr>
                <w:rFonts w:ascii="Arial" w:hAnsi="Arial" w:cs="Arial"/>
                <w:i/>
                <w:sz w:val="24"/>
                <w:szCs w:val="24"/>
              </w:rPr>
              <w:t xml:space="preserve"> 730.2, 74</w:t>
            </w:r>
            <w:r w:rsidR="00F51D3B" w:rsidRPr="007E652E">
              <w:rPr>
                <w:rFonts w:ascii="Arial" w:hAnsi="Arial" w:cs="Arial"/>
                <w:i/>
                <w:sz w:val="24"/>
                <w:szCs w:val="24"/>
              </w:rPr>
              <w:t>1.2</w:t>
            </w:r>
            <w:r w:rsidRPr="007E652E">
              <w:rPr>
                <w:rFonts w:ascii="Arial" w:hAnsi="Arial" w:cs="Arial"/>
                <w:i/>
                <w:sz w:val="24"/>
                <w:szCs w:val="24"/>
              </w:rPr>
              <w:t xml:space="preserve"> </w:t>
            </w:r>
            <w:r w:rsidR="00F51D3B" w:rsidRPr="007E652E">
              <w:rPr>
                <w:rFonts w:ascii="Arial" w:hAnsi="Arial" w:cs="Arial"/>
                <w:i/>
                <w:sz w:val="24"/>
                <w:szCs w:val="24"/>
              </w:rPr>
              <w:t>y 742</w:t>
            </w:r>
          </w:p>
          <w:p w:rsidR="00995050" w:rsidRPr="007E652E" w:rsidRDefault="00995050" w:rsidP="00066B8D">
            <w:pPr>
              <w:spacing w:before="240" w:after="240"/>
              <w:jc w:val="both"/>
              <w:rPr>
                <w:rFonts w:ascii="Arial" w:hAnsi="Arial" w:cs="Arial"/>
                <w:sz w:val="24"/>
                <w:szCs w:val="24"/>
              </w:rPr>
            </w:pPr>
            <w:r w:rsidRPr="007E652E">
              <w:rPr>
                <w:rFonts w:ascii="Arial" w:hAnsi="Arial" w:cs="Arial"/>
                <w:i/>
                <w:sz w:val="24"/>
                <w:szCs w:val="24"/>
              </w:rPr>
              <w:t xml:space="preserve">Ley de patentes: ARTS </w:t>
            </w:r>
            <w:r w:rsidR="00A203B9" w:rsidRPr="007E652E">
              <w:rPr>
                <w:rFonts w:ascii="Arial" w:hAnsi="Arial" w:cs="Arial"/>
                <w:i/>
                <w:sz w:val="24"/>
                <w:szCs w:val="24"/>
              </w:rPr>
              <w:t>129</w:t>
            </w:r>
            <w:r w:rsidR="00F51D3B" w:rsidRPr="007E652E">
              <w:rPr>
                <w:rFonts w:ascii="Arial" w:hAnsi="Arial" w:cs="Arial"/>
                <w:i/>
                <w:sz w:val="24"/>
                <w:szCs w:val="24"/>
              </w:rPr>
              <w:t>.1</w:t>
            </w:r>
            <w:r w:rsidR="00A203B9" w:rsidRPr="007E652E">
              <w:rPr>
                <w:rFonts w:ascii="Arial" w:hAnsi="Arial" w:cs="Arial"/>
                <w:i/>
                <w:sz w:val="24"/>
                <w:szCs w:val="24"/>
              </w:rPr>
              <w:t xml:space="preserve">, </w:t>
            </w:r>
            <w:r w:rsidRPr="007E652E">
              <w:rPr>
                <w:rFonts w:ascii="Arial" w:hAnsi="Arial" w:cs="Arial"/>
                <w:i/>
                <w:sz w:val="24"/>
                <w:szCs w:val="24"/>
              </w:rPr>
              <w:t>131</w:t>
            </w:r>
            <w:r w:rsidR="00CD3051" w:rsidRPr="007E652E">
              <w:rPr>
                <w:rFonts w:ascii="Arial" w:hAnsi="Arial" w:cs="Arial"/>
                <w:i/>
                <w:sz w:val="24"/>
                <w:szCs w:val="24"/>
              </w:rPr>
              <w:t>.1</w:t>
            </w:r>
            <w:r w:rsidR="00F51D3B" w:rsidRPr="007E652E">
              <w:rPr>
                <w:rFonts w:ascii="Arial" w:hAnsi="Arial" w:cs="Arial"/>
                <w:i/>
                <w:sz w:val="24"/>
                <w:szCs w:val="24"/>
              </w:rPr>
              <w:t>, 131.3</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12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Requerimientos y medidas correctivas</w:t>
            </w:r>
          </w:p>
        </w:tc>
        <w:tc>
          <w:tcPr>
            <w:tcW w:w="2500" w:type="pct"/>
          </w:tcPr>
          <w:p w:rsidR="00F77381" w:rsidRPr="007E652E" w:rsidRDefault="00326584" w:rsidP="006A508E">
            <w:pPr>
              <w:spacing w:before="240" w:after="240"/>
              <w:jc w:val="both"/>
              <w:rPr>
                <w:rFonts w:ascii="Arial" w:hAnsi="Arial" w:cs="Arial"/>
                <w:sz w:val="24"/>
                <w:szCs w:val="24"/>
              </w:rPr>
            </w:pPr>
            <w:r w:rsidRPr="007E652E">
              <w:rPr>
                <w:rFonts w:ascii="Arial" w:hAnsi="Arial" w:cs="Arial"/>
                <w:sz w:val="24"/>
                <w:szCs w:val="24"/>
              </w:rPr>
              <w:t xml:space="preserve">Arts. </w:t>
            </w:r>
            <w:r w:rsidR="00CD76A4">
              <w:rPr>
                <w:rFonts w:ascii="Arial" w:hAnsi="Arial" w:cs="Arial"/>
                <w:sz w:val="24"/>
                <w:szCs w:val="24"/>
              </w:rPr>
              <w:t>9</w:t>
            </w:r>
            <w:r w:rsidRPr="007E652E">
              <w:rPr>
                <w:rFonts w:ascii="Arial" w:hAnsi="Arial" w:cs="Arial"/>
                <w:sz w:val="24"/>
                <w:szCs w:val="24"/>
              </w:rPr>
              <w:t xml:space="preserve">.1 y </w:t>
            </w:r>
            <w:r w:rsidR="00CD76A4">
              <w:rPr>
                <w:rFonts w:ascii="Arial" w:hAnsi="Arial" w:cs="Arial"/>
                <w:sz w:val="24"/>
                <w:szCs w:val="24"/>
              </w:rPr>
              <w:t>9</w:t>
            </w:r>
            <w:r w:rsidRPr="007E652E">
              <w:rPr>
                <w:rFonts w:ascii="Arial" w:hAnsi="Arial" w:cs="Arial"/>
                <w:sz w:val="24"/>
                <w:szCs w:val="24"/>
              </w:rPr>
              <w:t>.2</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13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Condiciones de las solicitudes, medidas de salvaguarda y medidas alternativas</w:t>
            </w:r>
          </w:p>
        </w:tc>
        <w:tc>
          <w:tcPr>
            <w:tcW w:w="2500" w:type="pct"/>
          </w:tcPr>
          <w:p w:rsidR="0067649D" w:rsidRPr="007E652E" w:rsidRDefault="00B33C8F" w:rsidP="00B33C8F">
            <w:pPr>
              <w:spacing w:before="240" w:after="240"/>
              <w:jc w:val="both"/>
              <w:rPr>
                <w:rFonts w:ascii="Arial" w:hAnsi="Arial" w:cs="Arial"/>
                <w:sz w:val="24"/>
                <w:szCs w:val="24"/>
              </w:rPr>
            </w:pPr>
            <w:r w:rsidRPr="007E652E">
              <w:rPr>
                <w:rFonts w:ascii="Arial" w:hAnsi="Arial" w:cs="Arial"/>
                <w:sz w:val="24"/>
                <w:szCs w:val="24"/>
              </w:rPr>
              <w:t xml:space="preserve">Art. </w:t>
            </w:r>
            <w:r w:rsidR="00CD76A4">
              <w:rPr>
                <w:rFonts w:ascii="Arial" w:hAnsi="Arial" w:cs="Arial"/>
                <w:sz w:val="24"/>
                <w:szCs w:val="24"/>
              </w:rPr>
              <w:t>9</w:t>
            </w:r>
            <w:r w:rsidRPr="007E652E">
              <w:rPr>
                <w:rFonts w:ascii="Arial" w:hAnsi="Arial" w:cs="Arial"/>
                <w:sz w:val="24"/>
                <w:szCs w:val="24"/>
              </w:rPr>
              <w:t xml:space="preserve">.3, </w:t>
            </w:r>
            <w:r w:rsidR="00CD76A4">
              <w:rPr>
                <w:rFonts w:ascii="Arial" w:hAnsi="Arial" w:cs="Arial"/>
                <w:sz w:val="24"/>
                <w:szCs w:val="24"/>
              </w:rPr>
              <w:t>9</w:t>
            </w:r>
            <w:r w:rsidRPr="007E652E">
              <w:rPr>
                <w:rFonts w:ascii="Arial" w:hAnsi="Arial" w:cs="Arial"/>
                <w:sz w:val="24"/>
                <w:szCs w:val="24"/>
              </w:rPr>
              <w:t xml:space="preserve">.4, </w:t>
            </w:r>
            <w:r w:rsidR="00CD76A4">
              <w:rPr>
                <w:rFonts w:ascii="Arial" w:hAnsi="Arial" w:cs="Arial"/>
                <w:sz w:val="24"/>
                <w:szCs w:val="24"/>
              </w:rPr>
              <w:t>9</w:t>
            </w:r>
            <w:r w:rsidRPr="007E652E">
              <w:rPr>
                <w:rFonts w:ascii="Arial" w:hAnsi="Arial" w:cs="Arial"/>
                <w:sz w:val="24"/>
                <w:szCs w:val="24"/>
              </w:rPr>
              <w:t xml:space="preserve">.5 y </w:t>
            </w:r>
            <w:r w:rsidR="00CD76A4">
              <w:rPr>
                <w:rFonts w:ascii="Arial" w:hAnsi="Arial" w:cs="Arial"/>
                <w:sz w:val="24"/>
                <w:szCs w:val="24"/>
              </w:rPr>
              <w:t>9</w:t>
            </w:r>
            <w:r w:rsidRPr="007E652E">
              <w:rPr>
                <w:rFonts w:ascii="Arial" w:hAnsi="Arial" w:cs="Arial"/>
                <w:sz w:val="24"/>
                <w:szCs w:val="24"/>
              </w:rPr>
              <w:t>.7</w:t>
            </w:r>
          </w:p>
          <w:p w:rsidR="00995050" w:rsidRPr="007E652E" w:rsidRDefault="00995050" w:rsidP="00B33C8F">
            <w:pPr>
              <w:spacing w:before="240" w:after="240"/>
              <w:jc w:val="both"/>
              <w:rPr>
                <w:rFonts w:ascii="Arial" w:hAnsi="Arial" w:cs="Arial"/>
                <w:sz w:val="24"/>
                <w:szCs w:val="24"/>
              </w:rPr>
            </w:pPr>
            <w:r w:rsidRPr="007E652E">
              <w:rPr>
                <w:rFonts w:ascii="Arial" w:hAnsi="Arial" w:cs="Arial"/>
                <w:i/>
                <w:sz w:val="24"/>
                <w:szCs w:val="24"/>
              </w:rPr>
              <w:t xml:space="preserve"> </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14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Indemnización por daños y perjuicios</w:t>
            </w:r>
          </w:p>
        </w:tc>
        <w:tc>
          <w:tcPr>
            <w:tcW w:w="2500" w:type="pct"/>
          </w:tcPr>
          <w:p w:rsidR="0067649D" w:rsidRPr="007E652E" w:rsidRDefault="00B33C8F" w:rsidP="00CD76A4">
            <w:pPr>
              <w:spacing w:before="240" w:after="240"/>
              <w:jc w:val="both"/>
              <w:rPr>
                <w:rFonts w:ascii="Arial" w:hAnsi="Arial" w:cs="Arial"/>
                <w:sz w:val="24"/>
                <w:szCs w:val="24"/>
              </w:rPr>
            </w:pPr>
            <w:r w:rsidRPr="007E652E">
              <w:rPr>
                <w:rFonts w:ascii="Arial" w:hAnsi="Arial" w:cs="Arial"/>
                <w:sz w:val="24"/>
                <w:szCs w:val="24"/>
              </w:rPr>
              <w:t xml:space="preserve">Art. </w:t>
            </w:r>
            <w:r w:rsidR="00CD76A4">
              <w:rPr>
                <w:rFonts w:ascii="Arial" w:hAnsi="Arial" w:cs="Arial"/>
                <w:sz w:val="24"/>
                <w:szCs w:val="24"/>
              </w:rPr>
              <w:t>9</w:t>
            </w:r>
            <w:r w:rsidRPr="007E652E">
              <w:rPr>
                <w:rFonts w:ascii="Arial" w:hAnsi="Arial" w:cs="Arial"/>
                <w:sz w:val="24"/>
                <w:szCs w:val="24"/>
              </w:rPr>
              <w:t xml:space="preserve">.6 y </w:t>
            </w:r>
            <w:r w:rsidR="00CD76A4">
              <w:rPr>
                <w:rFonts w:ascii="Arial" w:hAnsi="Arial" w:cs="Arial"/>
                <w:sz w:val="24"/>
                <w:szCs w:val="24"/>
              </w:rPr>
              <w:t>10</w:t>
            </w:r>
            <w:r w:rsidRPr="007E652E">
              <w:rPr>
                <w:rFonts w:ascii="Arial" w:hAnsi="Arial" w:cs="Arial"/>
                <w:sz w:val="24"/>
                <w:szCs w:val="24"/>
              </w:rPr>
              <w:t>.1</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15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lastRenderedPageBreak/>
              <w:t>Publicación de las resoluciones judiciales</w:t>
            </w:r>
          </w:p>
        </w:tc>
        <w:tc>
          <w:tcPr>
            <w:tcW w:w="2500" w:type="pct"/>
          </w:tcPr>
          <w:p w:rsidR="00B33C8F" w:rsidRPr="007E652E" w:rsidRDefault="00B33C8F" w:rsidP="002D4BD6">
            <w:pPr>
              <w:spacing w:before="240" w:after="240"/>
              <w:jc w:val="both"/>
              <w:rPr>
                <w:rFonts w:ascii="Arial" w:hAnsi="Arial" w:cs="Arial"/>
                <w:sz w:val="24"/>
                <w:szCs w:val="24"/>
              </w:rPr>
            </w:pPr>
            <w:r w:rsidRPr="007E652E">
              <w:rPr>
                <w:rFonts w:ascii="Arial" w:hAnsi="Arial" w:cs="Arial"/>
                <w:sz w:val="24"/>
                <w:szCs w:val="24"/>
              </w:rPr>
              <w:lastRenderedPageBreak/>
              <w:t xml:space="preserve">Art. </w:t>
            </w:r>
            <w:r w:rsidR="00CD76A4">
              <w:rPr>
                <w:rFonts w:ascii="Arial" w:hAnsi="Arial" w:cs="Arial"/>
                <w:sz w:val="24"/>
                <w:szCs w:val="24"/>
              </w:rPr>
              <w:t>9</w:t>
            </w:r>
            <w:r w:rsidR="00D873D0" w:rsidRPr="007E652E">
              <w:rPr>
                <w:rFonts w:ascii="Arial" w:hAnsi="Arial" w:cs="Arial"/>
                <w:sz w:val="24"/>
                <w:szCs w:val="24"/>
              </w:rPr>
              <w:t>.1.</w:t>
            </w:r>
            <w:r w:rsidR="002D4BD6">
              <w:rPr>
                <w:rFonts w:ascii="Arial" w:hAnsi="Arial" w:cs="Arial"/>
                <w:sz w:val="24"/>
                <w:szCs w:val="24"/>
              </w:rPr>
              <w:t>h</w:t>
            </w:r>
            <w:r w:rsidR="00D873D0" w:rsidRPr="007E652E">
              <w:rPr>
                <w:rFonts w:ascii="Arial" w:hAnsi="Arial" w:cs="Arial"/>
                <w:sz w:val="24"/>
                <w:szCs w:val="24"/>
              </w:rPr>
              <w:t>)</w:t>
            </w:r>
            <w:r w:rsidR="000E3358" w:rsidRPr="007E652E">
              <w:rPr>
                <w:rFonts w:ascii="Arial" w:hAnsi="Arial" w:cs="Arial"/>
                <w:sz w:val="24"/>
                <w:szCs w:val="24"/>
              </w:rPr>
              <w:t xml:space="preserve">, </w:t>
            </w:r>
            <w:r w:rsidR="00CD76A4">
              <w:rPr>
                <w:rFonts w:ascii="Arial" w:hAnsi="Arial" w:cs="Arial"/>
                <w:sz w:val="24"/>
                <w:szCs w:val="24"/>
              </w:rPr>
              <w:t>9</w:t>
            </w:r>
            <w:r w:rsidR="000E3358" w:rsidRPr="007E652E">
              <w:rPr>
                <w:rFonts w:ascii="Arial" w:hAnsi="Arial" w:cs="Arial"/>
                <w:sz w:val="24"/>
                <w:szCs w:val="24"/>
              </w:rPr>
              <w:t>.2</w:t>
            </w:r>
            <w:r w:rsidR="00D873D0" w:rsidRPr="007E652E">
              <w:rPr>
                <w:rFonts w:ascii="Arial" w:hAnsi="Arial" w:cs="Arial"/>
                <w:sz w:val="24"/>
                <w:szCs w:val="24"/>
              </w:rPr>
              <w:t xml:space="preserve"> y </w:t>
            </w:r>
            <w:r w:rsidR="00CD76A4">
              <w:rPr>
                <w:rFonts w:ascii="Arial" w:hAnsi="Arial" w:cs="Arial"/>
                <w:sz w:val="24"/>
                <w:szCs w:val="24"/>
              </w:rPr>
              <w:t>9</w:t>
            </w:r>
            <w:r w:rsidRPr="007E652E">
              <w:rPr>
                <w:rFonts w:ascii="Arial" w:hAnsi="Arial" w:cs="Arial"/>
                <w:sz w:val="24"/>
                <w:szCs w:val="24"/>
              </w:rPr>
              <w:t>.3</w:t>
            </w:r>
            <w:r w:rsidR="0086377B" w:rsidRPr="007E652E">
              <w:rPr>
                <w:rFonts w:ascii="Arial" w:hAnsi="Arial" w:cs="Arial"/>
                <w:sz w:val="24"/>
                <w:szCs w:val="24"/>
              </w:rPr>
              <w:t xml:space="preserve"> </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lastRenderedPageBreak/>
              <w:t xml:space="preserve">Artículo 16 </w:t>
            </w:r>
          </w:p>
          <w:p w:rsidR="008247F8" w:rsidRPr="007E652E" w:rsidRDefault="005F2825" w:rsidP="00B15837">
            <w:pPr>
              <w:spacing w:before="240" w:after="240"/>
              <w:rPr>
                <w:rFonts w:ascii="Arial" w:hAnsi="Arial" w:cs="Arial"/>
                <w:sz w:val="24"/>
                <w:szCs w:val="24"/>
              </w:rPr>
            </w:pPr>
            <w:r w:rsidRPr="007E652E">
              <w:rPr>
                <w:rFonts w:ascii="Arial" w:hAnsi="Arial" w:cs="Arial"/>
                <w:bCs/>
                <w:sz w:val="24"/>
                <w:szCs w:val="24"/>
              </w:rPr>
              <w:t xml:space="preserve">Sanciones por incumplimiento de la presente </w:t>
            </w:r>
            <w:r w:rsidR="00B15837" w:rsidRPr="007E652E">
              <w:rPr>
                <w:rFonts w:ascii="Arial" w:hAnsi="Arial" w:cs="Arial"/>
                <w:bCs/>
                <w:sz w:val="24"/>
                <w:szCs w:val="24"/>
              </w:rPr>
              <w:t>d</w:t>
            </w:r>
            <w:r w:rsidRPr="007E652E">
              <w:rPr>
                <w:rFonts w:ascii="Arial" w:hAnsi="Arial" w:cs="Arial"/>
                <w:bCs/>
                <w:sz w:val="24"/>
                <w:szCs w:val="24"/>
              </w:rPr>
              <w:t>irectiva</w:t>
            </w:r>
          </w:p>
        </w:tc>
        <w:tc>
          <w:tcPr>
            <w:tcW w:w="2500" w:type="pct"/>
          </w:tcPr>
          <w:p w:rsidR="0092200F" w:rsidRPr="007E652E" w:rsidRDefault="0086377B" w:rsidP="00CD76A4">
            <w:pPr>
              <w:spacing w:before="240" w:after="240"/>
              <w:jc w:val="both"/>
              <w:rPr>
                <w:rFonts w:ascii="Arial" w:hAnsi="Arial" w:cs="Arial"/>
                <w:sz w:val="24"/>
                <w:szCs w:val="24"/>
              </w:rPr>
            </w:pPr>
            <w:r w:rsidRPr="007E652E">
              <w:rPr>
                <w:rFonts w:ascii="Arial" w:hAnsi="Arial" w:cs="Arial"/>
                <w:sz w:val="24"/>
                <w:szCs w:val="24"/>
              </w:rPr>
              <w:t xml:space="preserve">Art. </w:t>
            </w:r>
            <w:r w:rsidR="00CD76A4">
              <w:rPr>
                <w:rFonts w:ascii="Arial" w:hAnsi="Arial" w:cs="Arial"/>
                <w:sz w:val="24"/>
                <w:szCs w:val="24"/>
              </w:rPr>
              <w:t>9</w:t>
            </w:r>
            <w:r w:rsidRPr="007E652E">
              <w:rPr>
                <w:rFonts w:ascii="Arial" w:hAnsi="Arial" w:cs="Arial"/>
                <w:sz w:val="24"/>
                <w:szCs w:val="24"/>
              </w:rPr>
              <w:t>.6</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17 </w:t>
            </w:r>
          </w:p>
          <w:p w:rsidR="008247F8" w:rsidRPr="007E652E" w:rsidRDefault="005F2825" w:rsidP="003A227E">
            <w:pPr>
              <w:spacing w:before="240" w:after="240"/>
              <w:rPr>
                <w:rFonts w:ascii="Arial" w:hAnsi="Arial" w:cs="Arial"/>
                <w:sz w:val="24"/>
                <w:szCs w:val="24"/>
              </w:rPr>
            </w:pPr>
            <w:r w:rsidRPr="007E652E">
              <w:rPr>
                <w:rFonts w:ascii="Arial" w:hAnsi="Arial" w:cs="Arial"/>
                <w:bCs/>
                <w:sz w:val="24"/>
                <w:szCs w:val="24"/>
              </w:rPr>
              <w:t>Intercambio de información e interlocutores</w:t>
            </w:r>
          </w:p>
        </w:tc>
        <w:tc>
          <w:tcPr>
            <w:tcW w:w="2500" w:type="pct"/>
          </w:tcPr>
          <w:p w:rsidR="0054051D" w:rsidRPr="007E652E" w:rsidRDefault="0054051D" w:rsidP="006A508E">
            <w:pPr>
              <w:spacing w:before="240" w:after="240"/>
              <w:jc w:val="both"/>
              <w:rPr>
                <w:rFonts w:ascii="Arial" w:hAnsi="Arial" w:cs="Arial"/>
                <w:sz w:val="24"/>
                <w:szCs w:val="24"/>
              </w:rPr>
            </w:pPr>
          </w:p>
          <w:p w:rsidR="003A227E" w:rsidRPr="007E652E" w:rsidRDefault="003A227E" w:rsidP="006A508E">
            <w:pPr>
              <w:spacing w:before="240" w:after="240"/>
              <w:jc w:val="both"/>
              <w:rPr>
                <w:rFonts w:ascii="Arial" w:hAnsi="Arial" w:cs="Arial"/>
                <w:bCs/>
                <w:sz w:val="24"/>
                <w:szCs w:val="24"/>
              </w:rPr>
            </w:pPr>
            <w:r w:rsidRPr="007E652E">
              <w:rPr>
                <w:rFonts w:ascii="Arial" w:hAnsi="Arial" w:cs="Arial"/>
                <w:bCs/>
                <w:sz w:val="24"/>
                <w:szCs w:val="24"/>
              </w:rPr>
              <w:t>No requiere transposición</w:t>
            </w:r>
          </w:p>
          <w:p w:rsidR="00995050" w:rsidRPr="007E652E" w:rsidRDefault="00995050" w:rsidP="00AD299F">
            <w:pPr>
              <w:spacing w:before="240" w:after="240"/>
              <w:rPr>
                <w:rFonts w:ascii="Arial" w:hAnsi="Arial" w:cs="Arial"/>
                <w:sz w:val="24"/>
                <w:szCs w:val="24"/>
              </w:rPr>
            </w:pPr>
            <w:r w:rsidRPr="007E652E">
              <w:rPr>
                <w:rFonts w:ascii="Arial" w:hAnsi="Arial" w:cs="Arial"/>
                <w:bCs/>
                <w:sz w:val="24"/>
                <w:szCs w:val="24"/>
              </w:rPr>
              <w:t>NECESIDAD DE DESIGNAR</w:t>
            </w:r>
            <w:r w:rsidR="00C85D06" w:rsidRPr="007E652E">
              <w:rPr>
                <w:rFonts w:ascii="Arial" w:hAnsi="Arial" w:cs="Arial"/>
                <w:bCs/>
                <w:sz w:val="24"/>
                <w:szCs w:val="24"/>
              </w:rPr>
              <w:t xml:space="preserve"> POR EL</w:t>
            </w:r>
            <w:r w:rsidRPr="007E652E">
              <w:rPr>
                <w:rFonts w:ascii="Arial" w:hAnsi="Arial" w:cs="Arial"/>
                <w:bCs/>
                <w:sz w:val="24"/>
                <w:szCs w:val="24"/>
              </w:rPr>
              <w:t xml:space="preserve"> MINETAD (OEPM)</w:t>
            </w:r>
          </w:p>
        </w:tc>
      </w:tr>
      <w:tr w:rsidR="007E652E" w:rsidRPr="007E652E" w:rsidTr="003A227E">
        <w:tc>
          <w:tcPr>
            <w:tcW w:w="2500" w:type="pct"/>
          </w:tcPr>
          <w:p w:rsidR="008247F8" w:rsidRPr="007E652E" w:rsidRDefault="008247F8" w:rsidP="003A227E">
            <w:pPr>
              <w:spacing w:before="240" w:after="240"/>
              <w:rPr>
                <w:rFonts w:ascii="Arial" w:hAnsi="Arial" w:cs="Arial"/>
                <w:iCs/>
                <w:sz w:val="24"/>
                <w:szCs w:val="24"/>
              </w:rPr>
            </w:pPr>
            <w:r w:rsidRPr="007E652E">
              <w:rPr>
                <w:rFonts w:ascii="Arial" w:hAnsi="Arial" w:cs="Arial"/>
                <w:iCs/>
                <w:sz w:val="24"/>
                <w:szCs w:val="24"/>
              </w:rPr>
              <w:t xml:space="preserve">Artículo 18 </w:t>
            </w:r>
          </w:p>
          <w:p w:rsidR="008247F8" w:rsidRPr="007E652E" w:rsidRDefault="005F2825" w:rsidP="003A227E">
            <w:pPr>
              <w:spacing w:before="240" w:after="240"/>
              <w:rPr>
                <w:rFonts w:ascii="Arial" w:hAnsi="Arial" w:cs="Arial"/>
                <w:bCs/>
                <w:sz w:val="24"/>
                <w:szCs w:val="24"/>
              </w:rPr>
            </w:pPr>
            <w:r w:rsidRPr="007E652E">
              <w:rPr>
                <w:rFonts w:ascii="Arial" w:hAnsi="Arial" w:cs="Arial"/>
                <w:bCs/>
                <w:sz w:val="24"/>
                <w:szCs w:val="24"/>
              </w:rPr>
              <w:t>Informes</w:t>
            </w:r>
          </w:p>
          <w:p w:rsidR="008247F8" w:rsidRPr="007E652E" w:rsidRDefault="008247F8" w:rsidP="003A227E">
            <w:pPr>
              <w:spacing w:before="240" w:after="240"/>
              <w:rPr>
                <w:rFonts w:ascii="Arial" w:hAnsi="Arial" w:cs="Arial"/>
                <w:sz w:val="24"/>
                <w:szCs w:val="24"/>
              </w:rPr>
            </w:pPr>
          </w:p>
        </w:tc>
        <w:tc>
          <w:tcPr>
            <w:tcW w:w="2500" w:type="pct"/>
          </w:tcPr>
          <w:p w:rsidR="003A227E" w:rsidRPr="007E652E" w:rsidRDefault="003A227E" w:rsidP="006A508E">
            <w:pPr>
              <w:spacing w:before="240" w:after="240"/>
              <w:jc w:val="both"/>
              <w:rPr>
                <w:rFonts w:ascii="Arial" w:hAnsi="Arial" w:cs="Arial"/>
                <w:bCs/>
                <w:sz w:val="24"/>
                <w:szCs w:val="24"/>
              </w:rPr>
            </w:pPr>
          </w:p>
          <w:p w:rsidR="003A227E" w:rsidRPr="007E652E" w:rsidRDefault="003A227E" w:rsidP="006A508E">
            <w:pPr>
              <w:spacing w:before="240" w:after="240"/>
              <w:jc w:val="both"/>
              <w:rPr>
                <w:rFonts w:ascii="Arial" w:hAnsi="Arial" w:cs="Arial"/>
                <w:bCs/>
                <w:sz w:val="24"/>
                <w:szCs w:val="24"/>
              </w:rPr>
            </w:pPr>
            <w:r w:rsidRPr="007E652E">
              <w:rPr>
                <w:rFonts w:ascii="Arial" w:hAnsi="Arial" w:cs="Arial"/>
                <w:bCs/>
                <w:sz w:val="24"/>
                <w:szCs w:val="24"/>
              </w:rPr>
              <w:t>No requiere transposición</w:t>
            </w:r>
          </w:p>
          <w:p w:rsidR="003A227E" w:rsidRPr="007E652E" w:rsidRDefault="003A227E" w:rsidP="006A508E">
            <w:pPr>
              <w:spacing w:before="240" w:after="240"/>
              <w:jc w:val="both"/>
              <w:rPr>
                <w:rFonts w:ascii="Arial" w:hAnsi="Arial" w:cs="Arial"/>
                <w:sz w:val="24"/>
                <w:szCs w:val="24"/>
              </w:rPr>
            </w:pPr>
          </w:p>
        </w:tc>
      </w:tr>
      <w:tr w:rsidR="007E652E" w:rsidRPr="007E652E" w:rsidTr="003A227E">
        <w:tc>
          <w:tcPr>
            <w:tcW w:w="2500" w:type="pct"/>
          </w:tcPr>
          <w:p w:rsidR="00DF1B11" w:rsidRPr="007E652E" w:rsidRDefault="00DF1B11" w:rsidP="003A227E">
            <w:pPr>
              <w:spacing w:before="240" w:after="240"/>
              <w:rPr>
                <w:rFonts w:ascii="Arial" w:hAnsi="Arial" w:cs="Arial"/>
                <w:iCs/>
                <w:sz w:val="24"/>
                <w:szCs w:val="24"/>
              </w:rPr>
            </w:pPr>
            <w:r w:rsidRPr="007E652E">
              <w:rPr>
                <w:rFonts w:ascii="Arial" w:hAnsi="Arial" w:cs="Arial"/>
                <w:iCs/>
                <w:sz w:val="24"/>
                <w:szCs w:val="24"/>
              </w:rPr>
              <w:t xml:space="preserve">Artículo 19 </w:t>
            </w:r>
          </w:p>
          <w:p w:rsidR="00DF1B11" w:rsidRPr="007E652E" w:rsidRDefault="00DF1B11" w:rsidP="003A227E">
            <w:pPr>
              <w:spacing w:before="240" w:after="240"/>
              <w:rPr>
                <w:rFonts w:ascii="Arial" w:hAnsi="Arial" w:cs="Arial"/>
                <w:bCs/>
                <w:sz w:val="24"/>
                <w:szCs w:val="24"/>
              </w:rPr>
            </w:pPr>
            <w:r w:rsidRPr="007E652E">
              <w:rPr>
                <w:rFonts w:ascii="Arial" w:hAnsi="Arial" w:cs="Arial"/>
                <w:bCs/>
                <w:sz w:val="24"/>
                <w:szCs w:val="24"/>
              </w:rPr>
              <w:t>Transposición</w:t>
            </w:r>
          </w:p>
          <w:p w:rsidR="00DF1B11" w:rsidRPr="007E652E" w:rsidRDefault="00DF1B11" w:rsidP="003A227E">
            <w:pPr>
              <w:spacing w:before="240" w:after="240"/>
              <w:rPr>
                <w:rFonts w:ascii="Arial" w:hAnsi="Arial" w:cs="Arial"/>
                <w:sz w:val="24"/>
                <w:szCs w:val="24"/>
              </w:rPr>
            </w:pPr>
            <w:r w:rsidRPr="007E652E">
              <w:rPr>
                <w:rFonts w:ascii="Arial" w:hAnsi="Arial" w:cs="Arial"/>
                <w:sz w:val="24"/>
                <w:szCs w:val="24"/>
              </w:rPr>
              <w:t xml:space="preserve"> </w:t>
            </w:r>
          </w:p>
        </w:tc>
        <w:tc>
          <w:tcPr>
            <w:tcW w:w="2500" w:type="pct"/>
          </w:tcPr>
          <w:p w:rsidR="00DF1B11" w:rsidRPr="007E652E" w:rsidRDefault="00DF1B11" w:rsidP="006A508E">
            <w:pPr>
              <w:spacing w:before="240" w:after="240"/>
              <w:jc w:val="both"/>
              <w:rPr>
                <w:rFonts w:ascii="Arial" w:hAnsi="Arial" w:cs="Arial"/>
                <w:bCs/>
                <w:sz w:val="24"/>
                <w:szCs w:val="24"/>
              </w:rPr>
            </w:pPr>
          </w:p>
          <w:p w:rsidR="00DF1B11" w:rsidRPr="007E652E" w:rsidRDefault="00DF1B11" w:rsidP="006A508E">
            <w:pPr>
              <w:spacing w:before="240" w:after="240"/>
              <w:jc w:val="both"/>
              <w:rPr>
                <w:rFonts w:ascii="Arial" w:hAnsi="Arial" w:cs="Arial"/>
                <w:sz w:val="24"/>
                <w:szCs w:val="24"/>
              </w:rPr>
            </w:pPr>
            <w:r w:rsidRPr="007E652E">
              <w:rPr>
                <w:rFonts w:ascii="Arial" w:hAnsi="Arial" w:cs="Arial"/>
                <w:bCs/>
                <w:sz w:val="24"/>
                <w:szCs w:val="24"/>
              </w:rPr>
              <w:t>No requiere transposición</w:t>
            </w:r>
          </w:p>
        </w:tc>
      </w:tr>
      <w:tr w:rsidR="007E652E" w:rsidRPr="007E652E" w:rsidTr="003A227E">
        <w:tc>
          <w:tcPr>
            <w:tcW w:w="2500" w:type="pct"/>
          </w:tcPr>
          <w:p w:rsidR="00DF1B11" w:rsidRPr="007E652E" w:rsidRDefault="00DF1B11" w:rsidP="003A227E">
            <w:pPr>
              <w:spacing w:before="240" w:after="240"/>
              <w:rPr>
                <w:rFonts w:ascii="Arial" w:hAnsi="Arial" w:cs="Arial"/>
                <w:iCs/>
                <w:sz w:val="24"/>
                <w:szCs w:val="24"/>
              </w:rPr>
            </w:pPr>
            <w:r w:rsidRPr="007E652E">
              <w:rPr>
                <w:rFonts w:ascii="Arial" w:hAnsi="Arial" w:cs="Arial"/>
                <w:iCs/>
                <w:sz w:val="24"/>
                <w:szCs w:val="24"/>
              </w:rPr>
              <w:t xml:space="preserve">Artículo 20 </w:t>
            </w:r>
          </w:p>
          <w:p w:rsidR="00DF1B11" w:rsidRPr="007E652E" w:rsidRDefault="00DF1B11" w:rsidP="003A227E">
            <w:pPr>
              <w:spacing w:before="240" w:after="240"/>
              <w:rPr>
                <w:rFonts w:ascii="Arial" w:hAnsi="Arial" w:cs="Arial"/>
                <w:bCs/>
                <w:sz w:val="24"/>
                <w:szCs w:val="24"/>
              </w:rPr>
            </w:pPr>
            <w:r w:rsidRPr="007E652E">
              <w:rPr>
                <w:rFonts w:ascii="Arial" w:hAnsi="Arial" w:cs="Arial"/>
                <w:bCs/>
                <w:sz w:val="24"/>
                <w:szCs w:val="24"/>
              </w:rPr>
              <w:t>Entrada en vigor</w:t>
            </w:r>
          </w:p>
          <w:p w:rsidR="00DF1B11" w:rsidRPr="007E652E" w:rsidRDefault="00DF1B11" w:rsidP="003A227E">
            <w:pPr>
              <w:spacing w:before="240" w:after="240"/>
              <w:rPr>
                <w:rFonts w:ascii="Arial" w:hAnsi="Arial" w:cs="Arial"/>
                <w:sz w:val="24"/>
                <w:szCs w:val="24"/>
              </w:rPr>
            </w:pPr>
          </w:p>
        </w:tc>
        <w:tc>
          <w:tcPr>
            <w:tcW w:w="2500" w:type="pct"/>
          </w:tcPr>
          <w:p w:rsidR="00DF1B11" w:rsidRPr="007E652E" w:rsidRDefault="00DF1B11" w:rsidP="006A508E">
            <w:pPr>
              <w:spacing w:before="240" w:after="240"/>
              <w:jc w:val="both"/>
              <w:rPr>
                <w:rFonts w:ascii="Arial" w:hAnsi="Arial" w:cs="Arial"/>
                <w:bCs/>
                <w:sz w:val="24"/>
                <w:szCs w:val="24"/>
              </w:rPr>
            </w:pPr>
          </w:p>
          <w:p w:rsidR="00DF1B11" w:rsidRPr="007E652E" w:rsidRDefault="00DF1B11" w:rsidP="006A508E">
            <w:pPr>
              <w:spacing w:before="240" w:after="240"/>
              <w:jc w:val="both"/>
              <w:rPr>
                <w:rFonts w:ascii="Arial" w:hAnsi="Arial" w:cs="Arial"/>
                <w:sz w:val="24"/>
                <w:szCs w:val="24"/>
              </w:rPr>
            </w:pPr>
            <w:r w:rsidRPr="007E652E">
              <w:rPr>
                <w:rFonts w:ascii="Arial" w:hAnsi="Arial" w:cs="Arial"/>
                <w:bCs/>
                <w:sz w:val="24"/>
                <w:szCs w:val="24"/>
              </w:rPr>
              <w:t>No requiere transposición</w:t>
            </w:r>
          </w:p>
        </w:tc>
      </w:tr>
      <w:tr w:rsidR="00A34F28" w:rsidRPr="007E652E" w:rsidTr="003A227E">
        <w:tc>
          <w:tcPr>
            <w:tcW w:w="2500" w:type="pct"/>
          </w:tcPr>
          <w:p w:rsidR="00DF1B11" w:rsidRPr="007E652E" w:rsidRDefault="00DF1B11" w:rsidP="003A227E">
            <w:pPr>
              <w:spacing w:before="240" w:after="240"/>
              <w:rPr>
                <w:rFonts w:ascii="Arial" w:hAnsi="Arial" w:cs="Arial"/>
                <w:iCs/>
                <w:sz w:val="24"/>
                <w:szCs w:val="24"/>
              </w:rPr>
            </w:pPr>
            <w:r w:rsidRPr="007E652E">
              <w:rPr>
                <w:rFonts w:ascii="Arial" w:hAnsi="Arial" w:cs="Arial"/>
                <w:iCs/>
                <w:sz w:val="24"/>
                <w:szCs w:val="24"/>
              </w:rPr>
              <w:t xml:space="preserve">Artículo 21 </w:t>
            </w:r>
          </w:p>
          <w:p w:rsidR="00DF1B11" w:rsidRPr="007E652E" w:rsidRDefault="00DF1B11" w:rsidP="003A227E">
            <w:pPr>
              <w:spacing w:before="240" w:after="240"/>
              <w:rPr>
                <w:rFonts w:ascii="Arial" w:hAnsi="Arial" w:cs="Arial"/>
                <w:sz w:val="24"/>
                <w:szCs w:val="24"/>
              </w:rPr>
            </w:pPr>
            <w:r w:rsidRPr="007E652E">
              <w:rPr>
                <w:rFonts w:ascii="Arial" w:hAnsi="Arial" w:cs="Arial"/>
                <w:bCs/>
                <w:sz w:val="24"/>
                <w:szCs w:val="24"/>
              </w:rPr>
              <w:t xml:space="preserve">Destinatarios </w:t>
            </w:r>
          </w:p>
          <w:p w:rsidR="00DF1B11" w:rsidRPr="007E652E" w:rsidRDefault="00DF1B11" w:rsidP="003A227E">
            <w:pPr>
              <w:spacing w:before="240" w:after="240"/>
              <w:rPr>
                <w:rFonts w:ascii="Arial" w:hAnsi="Arial" w:cs="Arial"/>
                <w:sz w:val="24"/>
                <w:szCs w:val="24"/>
              </w:rPr>
            </w:pPr>
          </w:p>
        </w:tc>
        <w:tc>
          <w:tcPr>
            <w:tcW w:w="2500" w:type="pct"/>
          </w:tcPr>
          <w:p w:rsidR="00DF1B11" w:rsidRPr="007E652E" w:rsidRDefault="00DF1B11" w:rsidP="006A508E">
            <w:pPr>
              <w:spacing w:before="240" w:after="240"/>
              <w:jc w:val="both"/>
              <w:rPr>
                <w:rFonts w:ascii="Arial" w:hAnsi="Arial" w:cs="Arial"/>
                <w:bCs/>
                <w:sz w:val="24"/>
                <w:szCs w:val="24"/>
              </w:rPr>
            </w:pPr>
          </w:p>
          <w:p w:rsidR="00DF1B11" w:rsidRPr="007E652E" w:rsidRDefault="00DF1B11" w:rsidP="006A508E">
            <w:pPr>
              <w:spacing w:before="240" w:after="240"/>
              <w:jc w:val="both"/>
              <w:rPr>
                <w:rFonts w:ascii="Arial" w:hAnsi="Arial" w:cs="Arial"/>
                <w:sz w:val="24"/>
                <w:szCs w:val="24"/>
              </w:rPr>
            </w:pPr>
            <w:r w:rsidRPr="007E652E">
              <w:rPr>
                <w:rFonts w:ascii="Arial" w:hAnsi="Arial" w:cs="Arial"/>
                <w:bCs/>
                <w:sz w:val="24"/>
                <w:szCs w:val="24"/>
              </w:rPr>
              <w:t>No requiere transposición</w:t>
            </w:r>
          </w:p>
        </w:tc>
      </w:tr>
    </w:tbl>
    <w:p w:rsidR="00E23D95" w:rsidRPr="007E652E" w:rsidRDefault="00E23D95" w:rsidP="006A508E">
      <w:pPr>
        <w:spacing w:before="240" w:after="240"/>
        <w:rPr>
          <w:rFonts w:ascii="Arial" w:hAnsi="Arial" w:cs="Arial"/>
          <w:sz w:val="24"/>
          <w:szCs w:val="24"/>
        </w:rPr>
      </w:pPr>
    </w:p>
    <w:p w:rsidR="001D77C1" w:rsidRDefault="001D77C1">
      <w:pPr>
        <w:rPr>
          <w:rFonts w:ascii="Arial" w:hAnsi="Arial" w:cs="Arial"/>
          <w:sz w:val="24"/>
          <w:szCs w:val="24"/>
        </w:rPr>
      </w:pPr>
      <w:r>
        <w:rPr>
          <w:rFonts w:ascii="Arial" w:hAnsi="Arial" w:cs="Arial"/>
          <w:sz w:val="24"/>
          <w:szCs w:val="24"/>
        </w:rPr>
        <w:br w:type="page"/>
      </w:r>
    </w:p>
    <w:p w:rsidR="00C14665" w:rsidRDefault="00C14665" w:rsidP="007744ED">
      <w:pPr>
        <w:pStyle w:val="Ttulo1"/>
        <w:rPr>
          <w:szCs w:val="24"/>
        </w:rPr>
        <w:sectPr w:rsidR="00C14665" w:rsidSect="004172DA">
          <w:pgSz w:w="11906" w:h="16838"/>
          <w:pgMar w:top="1418" w:right="1701" w:bottom="1418" w:left="1701" w:header="709" w:footer="709" w:gutter="0"/>
          <w:cols w:space="708"/>
          <w:docGrid w:linePitch="360"/>
        </w:sectPr>
      </w:pPr>
    </w:p>
    <w:p w:rsidR="001D77C1" w:rsidRPr="002F7F85" w:rsidRDefault="001D77C1" w:rsidP="007744ED">
      <w:pPr>
        <w:pStyle w:val="Ttulo1"/>
        <w:rPr>
          <w:szCs w:val="24"/>
        </w:rPr>
      </w:pPr>
      <w:bookmarkStart w:id="28" w:name="_Toc511982536"/>
      <w:r w:rsidRPr="002F7F85">
        <w:rPr>
          <w:szCs w:val="24"/>
        </w:rPr>
        <w:lastRenderedPageBreak/>
        <w:t>ANEXO II</w:t>
      </w:r>
      <w:bookmarkEnd w:id="28"/>
    </w:p>
    <w:p w:rsidR="001D77C1" w:rsidRDefault="001D77C1" w:rsidP="001D77C1">
      <w:pPr>
        <w:spacing w:before="240" w:after="240"/>
        <w:jc w:val="center"/>
        <w:rPr>
          <w:rFonts w:ascii="Arial" w:hAnsi="Arial" w:cs="Arial"/>
          <w:b/>
          <w:sz w:val="24"/>
          <w:szCs w:val="24"/>
          <w:u w:val="single"/>
        </w:rPr>
      </w:pPr>
      <w:r w:rsidRPr="001D77C1">
        <w:rPr>
          <w:rFonts w:ascii="Arial" w:hAnsi="Arial" w:cs="Arial"/>
          <w:b/>
          <w:sz w:val="24"/>
          <w:szCs w:val="24"/>
          <w:u w:val="single"/>
        </w:rPr>
        <w:t>Información Pública</w:t>
      </w:r>
    </w:p>
    <w:p w:rsidR="001D77C1" w:rsidRPr="001D77C1" w:rsidRDefault="001D77C1" w:rsidP="001D77C1">
      <w:pPr>
        <w:spacing w:before="240" w:after="240"/>
        <w:jc w:val="center"/>
        <w:rPr>
          <w:rFonts w:ascii="Arial" w:hAnsi="Arial" w:cs="Arial"/>
          <w:b/>
          <w:sz w:val="24"/>
          <w:szCs w:val="24"/>
        </w:rPr>
      </w:pPr>
      <w:r w:rsidRPr="001D77C1">
        <w:rPr>
          <w:rFonts w:ascii="Arial" w:hAnsi="Arial" w:cs="Arial"/>
          <w:b/>
          <w:sz w:val="24"/>
          <w:szCs w:val="24"/>
        </w:rPr>
        <w:t>De 14 de febrero a 7 de marzo de 2018</w:t>
      </w:r>
    </w:p>
    <w:p w:rsidR="001D77C1" w:rsidRDefault="001D77C1" w:rsidP="001D77C1">
      <w:pPr>
        <w:spacing w:before="240" w:after="240"/>
        <w:jc w:val="center"/>
        <w:rPr>
          <w:rFonts w:ascii="Arial"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1823"/>
        <w:gridCol w:w="5286"/>
        <w:gridCol w:w="5286"/>
      </w:tblGrid>
      <w:tr w:rsidR="001D77C1" w:rsidRPr="006E5A21" w:rsidTr="00343086">
        <w:trPr>
          <w:cantSplit/>
          <w:trHeight w:val="738"/>
          <w:tblHeader/>
        </w:trPr>
        <w:tc>
          <w:tcPr>
            <w:tcW w:w="641" w:type="pct"/>
            <w:shd w:val="clear" w:color="auto" w:fill="C6D9F1" w:themeFill="text2" w:themeFillTint="33"/>
            <w:vAlign w:val="center"/>
            <w:hideMark/>
          </w:tcPr>
          <w:p w:rsidR="001D77C1" w:rsidRPr="006E5A21" w:rsidRDefault="001D77C1" w:rsidP="001D77C1">
            <w:pPr>
              <w:spacing w:after="0" w:line="240" w:lineRule="auto"/>
              <w:jc w:val="center"/>
              <w:rPr>
                <w:rFonts w:eastAsia="Times New Roman" w:cs="Times New Roman"/>
                <w:b/>
                <w:sz w:val="20"/>
                <w:szCs w:val="20"/>
              </w:rPr>
            </w:pPr>
            <w:r w:rsidRPr="006E5A21">
              <w:rPr>
                <w:rFonts w:eastAsia="Times New Roman" w:cs="Times New Roman"/>
                <w:b/>
                <w:sz w:val="20"/>
                <w:szCs w:val="20"/>
              </w:rPr>
              <w:t>Artículos</w:t>
            </w:r>
            <w:r w:rsidR="00CD76A4">
              <w:rPr>
                <w:rStyle w:val="Refdenotaalpie"/>
                <w:rFonts w:eastAsia="Times New Roman" w:cs="Times New Roman"/>
                <w:b/>
                <w:sz w:val="20"/>
                <w:szCs w:val="20"/>
              </w:rPr>
              <w:footnoteReference w:id="2"/>
            </w:r>
          </w:p>
        </w:tc>
        <w:tc>
          <w:tcPr>
            <w:tcW w:w="641" w:type="pct"/>
            <w:shd w:val="clear" w:color="auto" w:fill="C6D9F1" w:themeFill="text2" w:themeFillTint="33"/>
            <w:vAlign w:val="center"/>
          </w:tcPr>
          <w:p w:rsidR="001D77C1" w:rsidRPr="006E5A21" w:rsidRDefault="001D77C1" w:rsidP="001D77C1">
            <w:pPr>
              <w:spacing w:after="0" w:line="240" w:lineRule="auto"/>
              <w:jc w:val="center"/>
              <w:rPr>
                <w:rFonts w:eastAsia="Times New Roman" w:cs="Times New Roman"/>
                <w:b/>
                <w:sz w:val="20"/>
                <w:szCs w:val="20"/>
              </w:rPr>
            </w:pPr>
            <w:r w:rsidRPr="006E5A21">
              <w:rPr>
                <w:rFonts w:eastAsia="Times New Roman" w:cs="Times New Roman"/>
                <w:b/>
                <w:sz w:val="20"/>
                <w:szCs w:val="20"/>
              </w:rPr>
              <w:t>Nombre</w:t>
            </w:r>
          </w:p>
          <w:p w:rsidR="001D77C1" w:rsidRPr="006E5A21" w:rsidRDefault="001D77C1" w:rsidP="001D77C1">
            <w:pPr>
              <w:spacing w:after="0" w:line="240" w:lineRule="auto"/>
              <w:jc w:val="center"/>
              <w:rPr>
                <w:rFonts w:eastAsia="Times New Roman" w:cs="Times New Roman"/>
                <w:b/>
                <w:sz w:val="20"/>
                <w:szCs w:val="20"/>
              </w:rPr>
            </w:pPr>
            <w:r w:rsidRPr="006E5A21">
              <w:rPr>
                <w:rFonts w:eastAsia="Times New Roman" w:cs="Times New Roman"/>
                <w:b/>
                <w:sz w:val="20"/>
                <w:szCs w:val="20"/>
              </w:rPr>
              <w:t>Organización</w:t>
            </w:r>
          </w:p>
        </w:tc>
        <w:tc>
          <w:tcPr>
            <w:tcW w:w="1859" w:type="pct"/>
            <w:shd w:val="clear" w:color="auto" w:fill="C6D9F1" w:themeFill="text2" w:themeFillTint="33"/>
            <w:vAlign w:val="center"/>
            <w:hideMark/>
          </w:tcPr>
          <w:p w:rsidR="001D77C1" w:rsidRPr="006E5A21" w:rsidRDefault="001D77C1" w:rsidP="001D77C1">
            <w:pPr>
              <w:spacing w:after="0" w:line="240" w:lineRule="auto"/>
              <w:jc w:val="center"/>
              <w:rPr>
                <w:rFonts w:eastAsia="Times New Roman" w:cs="Times New Roman"/>
                <w:b/>
                <w:sz w:val="20"/>
                <w:szCs w:val="20"/>
              </w:rPr>
            </w:pPr>
            <w:r w:rsidRPr="006E5A21">
              <w:rPr>
                <w:rFonts w:eastAsia="Times New Roman" w:cs="Times New Roman"/>
                <w:b/>
                <w:sz w:val="20"/>
                <w:szCs w:val="20"/>
              </w:rPr>
              <w:t>Observaciones</w:t>
            </w:r>
          </w:p>
        </w:tc>
        <w:tc>
          <w:tcPr>
            <w:tcW w:w="1860" w:type="pct"/>
            <w:shd w:val="clear" w:color="auto" w:fill="C6D9F1" w:themeFill="text2" w:themeFillTint="33"/>
            <w:vAlign w:val="center"/>
          </w:tcPr>
          <w:p w:rsidR="001D77C1" w:rsidRPr="006E5A21" w:rsidRDefault="001D77C1" w:rsidP="001D77C1">
            <w:pPr>
              <w:spacing w:after="0" w:line="240" w:lineRule="auto"/>
              <w:jc w:val="center"/>
              <w:rPr>
                <w:rFonts w:eastAsia="Times New Roman" w:cs="Times New Roman"/>
                <w:b/>
                <w:sz w:val="20"/>
                <w:szCs w:val="20"/>
              </w:rPr>
            </w:pPr>
            <w:r w:rsidRPr="006E5A21">
              <w:rPr>
                <w:rFonts w:eastAsia="Times New Roman" w:cs="Times New Roman"/>
                <w:b/>
                <w:sz w:val="20"/>
                <w:szCs w:val="20"/>
              </w:rPr>
              <w:t>Valoración</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General</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General</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recomienda dotar al texto legal de un contenido más amplio y no limitado a la mera trasposición. Se trataría de dotar al secreto empresarial de protección como figura jurídica distinta de los derechos de propiedad industrial e intelectual (PII) aunque pudiera ser acumulativa o concurrente, según la naturaleza del secreto.</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General</w:t>
            </w:r>
          </w:p>
          <w:p w:rsidR="001D77C1" w:rsidRPr="006E5A21" w:rsidRDefault="00CD76A4" w:rsidP="001D77C1">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Se amplía la regulación incorporando unas reglas mínimas de carácter dispositivo referentes a la vertiente patrimonial del secreto empresarial.</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Exposición de Motivos</w:t>
            </w:r>
          </w:p>
          <w:p w:rsidR="002750C9"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 xml:space="preserve">Apartado I </w:t>
            </w:r>
          </w:p>
          <w:p w:rsidR="002750C9" w:rsidRPr="006E5A21" w:rsidRDefault="002750C9" w:rsidP="001D77C1">
            <w:pPr>
              <w:spacing w:beforeLines="60" w:before="144" w:afterLines="60" w:after="144"/>
              <w:jc w:val="center"/>
              <w:rPr>
                <w:rFonts w:eastAsia="Times New Roman" w:cs="Times New Roman"/>
                <w:b/>
                <w:bCs/>
                <w:sz w:val="20"/>
                <w:szCs w:val="20"/>
              </w:rPr>
            </w:pPr>
          </w:p>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color w:val="000000"/>
                <w:sz w:val="20"/>
                <w:szCs w:val="20"/>
              </w:rPr>
            </w:pPr>
            <w:r w:rsidRPr="006E5A21">
              <w:rPr>
                <w:rFonts w:eastAsia="Times New Roman" w:cs="Times New Roman"/>
                <w:b/>
                <w:bCs/>
                <w:sz w:val="20"/>
                <w:szCs w:val="20"/>
              </w:rPr>
              <w:t>CSIC</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 (y Apartado III. Párrafo segundo)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El uso y la gestión de los secretos industriales no es exclusivo de las empresas, tal como se comenta en la memoria de impacto normativo de este APL afecta también a los organismos públicos de investigación europeos (</w:t>
            </w:r>
            <w:proofErr w:type="spellStart"/>
            <w:r w:rsidRPr="006E5A21">
              <w:rPr>
                <w:rFonts w:eastAsia="Calibri" w:cs="Arial"/>
                <w:bCs/>
                <w:sz w:val="20"/>
                <w:szCs w:val="20"/>
                <w:lang w:val="es-ES_tradnl"/>
              </w:rPr>
              <w:t>OPIs</w:t>
            </w:r>
            <w:proofErr w:type="spellEnd"/>
            <w:r w:rsidRPr="006E5A21">
              <w:rPr>
                <w:rFonts w:eastAsia="Calibri" w:cs="Arial"/>
                <w:bCs/>
                <w:sz w:val="20"/>
                <w:szCs w:val="20"/>
                <w:lang w:val="es-ES_tradnl"/>
              </w:rPr>
              <w:t xml:space="preserve">), tal como se tiene igualmente en cuenta en la Ley de Patentes (art.  21.3 LP) donde el secreto es una forma de protección de los resultados de investigación generados por un CPI y, finalmente, como se plasma en la práctica diaria de la VATC </w:t>
            </w:r>
            <w:r w:rsidRPr="006E5A21">
              <w:rPr>
                <w:rFonts w:eastAsia="Calibri" w:cs="Arial"/>
                <w:bCs/>
                <w:sz w:val="20"/>
                <w:szCs w:val="20"/>
                <w:lang w:val="es-ES_tradnl"/>
              </w:rPr>
              <w:lastRenderedPageBreak/>
              <w:t xml:space="preserve">con la identificación, evaluación y registro interno y notarial de secretos industriales del CSIC desde hace más de 5 años. </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Estos secretos evaluados y registrados son la base de contratos de licencia o transferencia del conocimiento de activos a empresas o incluso la creación de nuevas empresas de bases tecnológicas (spin-off).</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Por ello se sugiere adaptar el texto de la EM haciendo referencia no sólo a las empresas sino también a las entidades públicas para con ello dar también cobertura a los centros públicos de investigación que se verán afectados por el APL (Universidades, </w:t>
            </w:r>
            <w:proofErr w:type="spellStart"/>
            <w:r w:rsidRPr="006E5A21">
              <w:rPr>
                <w:rFonts w:eastAsia="Calibri" w:cs="Arial"/>
                <w:bCs/>
                <w:sz w:val="20"/>
                <w:szCs w:val="20"/>
                <w:lang w:val="es-ES_tradnl"/>
              </w:rPr>
              <w:t>OPIs</w:t>
            </w:r>
            <w:proofErr w:type="spellEnd"/>
            <w:r w:rsidRPr="006E5A21">
              <w:rPr>
                <w:rFonts w:eastAsia="Calibri" w:cs="Arial"/>
                <w:bCs/>
                <w:sz w:val="20"/>
                <w:szCs w:val="20"/>
                <w:lang w:val="es-ES_tradnl"/>
              </w:rPr>
              <w:t>, hospitales, etc.).</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En consecuencia, el </w:t>
            </w:r>
            <w:r w:rsidRPr="006E5A21">
              <w:rPr>
                <w:rFonts w:eastAsia="Calibri" w:cs="Arial"/>
                <w:b/>
                <w:bCs/>
                <w:sz w:val="20"/>
                <w:szCs w:val="20"/>
                <w:lang w:val="es-ES_tradnl"/>
              </w:rPr>
              <w:t>apartado I de la Exposición de Motivos</w:t>
            </w:r>
            <w:r w:rsidRPr="006E5A21">
              <w:rPr>
                <w:rFonts w:eastAsia="Calibri" w:cs="Arial"/>
                <w:bCs/>
                <w:sz w:val="20"/>
                <w:szCs w:val="20"/>
                <w:lang w:val="es-ES_tradnl"/>
              </w:rPr>
              <w:t xml:space="preserve"> quedaría redactada como sigue:</w:t>
            </w:r>
          </w:p>
          <w:p w:rsidR="001D77C1" w:rsidRPr="006E5A21" w:rsidRDefault="001D77C1" w:rsidP="001D77C1">
            <w:pPr>
              <w:autoSpaceDE w:val="0"/>
              <w:autoSpaceDN w:val="0"/>
              <w:adjustRightInd w:val="0"/>
              <w:spacing w:before="100" w:after="100" w:line="240" w:lineRule="auto"/>
              <w:ind w:firstLine="567"/>
              <w:jc w:val="both"/>
              <w:rPr>
                <w:rFonts w:eastAsia="Calibri" w:cs="Arial"/>
                <w:i/>
                <w:color w:val="000000"/>
                <w:sz w:val="20"/>
                <w:szCs w:val="20"/>
              </w:rPr>
            </w:pPr>
            <w:r w:rsidRPr="006E5A21">
              <w:rPr>
                <w:rFonts w:eastAsia="Calibri" w:cs="Arial"/>
                <w:color w:val="000000"/>
                <w:sz w:val="20"/>
                <w:szCs w:val="20"/>
              </w:rPr>
              <w:t>“</w:t>
            </w:r>
            <w:r w:rsidRPr="006E5A21">
              <w:rPr>
                <w:rFonts w:eastAsia="Calibri" w:cs="Arial"/>
                <w:i/>
                <w:color w:val="000000"/>
                <w:sz w:val="20"/>
                <w:szCs w:val="20"/>
              </w:rPr>
              <w:t xml:space="preserve">Las empresas </w:t>
            </w:r>
            <w:r w:rsidRPr="006E5A21">
              <w:rPr>
                <w:rFonts w:eastAsia="Calibri" w:cs="Arial"/>
                <w:i/>
                <w:color w:val="FF0000"/>
                <w:sz w:val="20"/>
                <w:szCs w:val="20"/>
              </w:rPr>
              <w:t xml:space="preserve">y entidades públicas </w:t>
            </w:r>
            <w:r w:rsidRPr="006E5A21">
              <w:rPr>
                <w:rFonts w:eastAsia="Calibri" w:cs="Arial"/>
                <w:i/>
                <w:color w:val="000000"/>
                <w:sz w:val="20"/>
                <w:szCs w:val="20"/>
              </w:rPr>
              <w:t xml:space="preserve">valoran sus secretos empresariales tanto como los derechos de propiedad </w:t>
            </w:r>
            <w:r w:rsidRPr="006E5A21">
              <w:rPr>
                <w:rFonts w:eastAsia="Calibri" w:cs="Arial"/>
                <w:i/>
                <w:color w:val="FF0000"/>
                <w:sz w:val="20"/>
                <w:szCs w:val="20"/>
              </w:rPr>
              <w:t xml:space="preserve">industrial e </w:t>
            </w:r>
            <w:r w:rsidRPr="006E5A21">
              <w:rPr>
                <w:rFonts w:eastAsia="Calibri" w:cs="Arial"/>
                <w:i/>
                <w:color w:val="000000"/>
                <w:sz w:val="20"/>
                <w:szCs w:val="20"/>
              </w:rPr>
              <w:t xml:space="preserve">intelectual y utilizan la confidencialidad como una herramienta de gestión de la competitividad empresarial, </w:t>
            </w:r>
            <w:r w:rsidRPr="006E5A21">
              <w:rPr>
                <w:rFonts w:eastAsia="Calibri" w:cs="Arial"/>
                <w:i/>
                <w:color w:val="FF0000"/>
                <w:sz w:val="20"/>
                <w:szCs w:val="20"/>
              </w:rPr>
              <w:t>de transferencia de conocimiento público-privada</w:t>
            </w:r>
            <w:r w:rsidRPr="006E5A21">
              <w:rPr>
                <w:rFonts w:eastAsia="Calibri" w:cs="Arial"/>
                <w:i/>
                <w:color w:val="000000"/>
                <w:sz w:val="20"/>
                <w:szCs w:val="20"/>
              </w:rPr>
              <w:t xml:space="preserve"> y de la innovación en investigación con el objetivo de proteger información que abarca no solo conocimientos </w:t>
            </w:r>
            <w:r w:rsidRPr="006E5A21">
              <w:rPr>
                <w:rFonts w:eastAsia="Calibri" w:cs="Arial"/>
                <w:i/>
                <w:color w:val="FF0000"/>
                <w:sz w:val="20"/>
                <w:szCs w:val="20"/>
              </w:rPr>
              <w:t xml:space="preserve">científicos o </w:t>
            </w:r>
            <w:r w:rsidRPr="006E5A21">
              <w:rPr>
                <w:rFonts w:eastAsia="Calibri" w:cs="Arial"/>
                <w:i/>
                <w:color w:val="000000"/>
                <w:sz w:val="20"/>
                <w:szCs w:val="20"/>
              </w:rPr>
              <w:t xml:space="preserve">técnicos, sino también datos empresariales relativos a clientes y proveedores, planes comerciales y estudios o estrategias de mercado. </w:t>
            </w:r>
          </w:p>
          <w:p w:rsidR="001D77C1" w:rsidRPr="006E5A21" w:rsidRDefault="001D77C1" w:rsidP="001D77C1">
            <w:pPr>
              <w:autoSpaceDE w:val="0"/>
              <w:autoSpaceDN w:val="0"/>
              <w:adjustRightInd w:val="0"/>
              <w:spacing w:before="100" w:after="100" w:line="240" w:lineRule="auto"/>
              <w:ind w:firstLine="567"/>
              <w:jc w:val="both"/>
              <w:rPr>
                <w:rFonts w:eastAsia="Calibri" w:cs="Arial"/>
                <w:i/>
                <w:color w:val="000000"/>
                <w:sz w:val="20"/>
                <w:szCs w:val="20"/>
              </w:rPr>
            </w:pPr>
            <w:r w:rsidRPr="006E5A21">
              <w:rPr>
                <w:rFonts w:eastAsia="Calibri" w:cs="Arial"/>
                <w:i/>
                <w:color w:val="000000"/>
                <w:sz w:val="20"/>
                <w:szCs w:val="20"/>
              </w:rPr>
              <w:t xml:space="preserve">Sin embargo, las </w:t>
            </w:r>
            <w:r w:rsidRPr="006E5A21">
              <w:rPr>
                <w:rFonts w:eastAsia="Calibri" w:cs="Arial"/>
                <w:i/>
                <w:color w:val="FF0000"/>
                <w:sz w:val="20"/>
                <w:szCs w:val="20"/>
              </w:rPr>
              <w:t xml:space="preserve">entidades </w:t>
            </w:r>
            <w:r w:rsidRPr="006E5A21">
              <w:rPr>
                <w:rFonts w:eastAsia="Calibri" w:cs="Arial"/>
                <w:i/>
                <w:color w:val="000000"/>
                <w:sz w:val="20"/>
                <w:szCs w:val="20"/>
              </w:rPr>
              <w:t xml:space="preserve">innovadoras están cada vez más expuestas a prácticas desleales que persiguen la apropiación indebida de secretos empresariales, como el robo, la copia no autorizada, el espionaje económico o el incumplimiento de los requisitos de confidencialidad. La </w:t>
            </w:r>
            <w:r w:rsidRPr="006E5A21">
              <w:rPr>
                <w:rFonts w:eastAsia="Calibri" w:cs="Arial"/>
                <w:i/>
                <w:color w:val="000000"/>
                <w:sz w:val="20"/>
                <w:szCs w:val="20"/>
              </w:rPr>
              <w:lastRenderedPageBreak/>
              <w:t>globalización, una creciente externalización, cadenas de suministro más largas y un mayor uso de las tecnologías de la información y la comunicación, contribuyen a aumentar el riesgo de tales prácticas.</w:t>
            </w:r>
          </w:p>
          <w:p w:rsidR="001D77C1" w:rsidRPr="006E5A21" w:rsidRDefault="001D77C1" w:rsidP="001D77C1">
            <w:pPr>
              <w:autoSpaceDE w:val="0"/>
              <w:autoSpaceDN w:val="0"/>
              <w:adjustRightInd w:val="0"/>
              <w:spacing w:before="100" w:after="100" w:line="240" w:lineRule="auto"/>
              <w:ind w:firstLine="567"/>
              <w:jc w:val="both"/>
              <w:rPr>
                <w:rFonts w:eastAsia="Calibri" w:cs="Arial"/>
                <w:i/>
                <w:color w:val="000000"/>
                <w:sz w:val="20"/>
                <w:szCs w:val="20"/>
              </w:rPr>
            </w:pPr>
            <w:r w:rsidRPr="006E5A21">
              <w:rPr>
                <w:rFonts w:eastAsia="Calibri" w:cs="Arial"/>
                <w:i/>
                <w:color w:val="000000"/>
                <w:sz w:val="20"/>
                <w:szCs w:val="20"/>
              </w:rPr>
              <w:t xml:space="preserve">La obtención, utilización o revelación ilícitas de un secreto empresarial comprometen la capacidad de su titular legítimo para aprovechar las ventajas que le corresponden como precursor por su labor de innovación. La falta de instrumentos jurídicos eficaces y comparables para la protección de los secretos empresariales menoscaba los incentivos para emprender actividades asociadas a la innovación e impiden que los secretos empresariales puedan liberar su potencial como estímulos del crecimiento económico y del empleo. En consecuencia, la innovación y la creatividad se ven desincentivadas y disminuye la inversión, con las consiguientes repercusiones en el buen funcionamiento del mercado y la consiguiente merma de su potencial como factor de crecimiento. </w:t>
            </w:r>
          </w:p>
          <w:p w:rsidR="001D77C1" w:rsidRPr="006E5A21" w:rsidRDefault="001D77C1" w:rsidP="001D77C1">
            <w:pPr>
              <w:autoSpaceDE w:val="0"/>
              <w:autoSpaceDN w:val="0"/>
              <w:adjustRightInd w:val="0"/>
              <w:spacing w:before="100" w:after="100" w:line="240" w:lineRule="auto"/>
              <w:ind w:firstLine="567"/>
              <w:jc w:val="both"/>
              <w:rPr>
                <w:rFonts w:eastAsia="Calibri" w:cs="Arial"/>
                <w:i/>
                <w:color w:val="000000"/>
                <w:sz w:val="20"/>
                <w:szCs w:val="20"/>
              </w:rPr>
            </w:pPr>
            <w:r w:rsidRPr="006E5A21">
              <w:rPr>
                <w:rFonts w:eastAsia="Calibri" w:cs="Arial"/>
                <w:i/>
                <w:color w:val="000000"/>
                <w:sz w:val="20"/>
                <w:szCs w:val="20"/>
              </w:rPr>
              <w:t xml:space="preserve">Es necesario garantizar que la competitividad de las empresas </w:t>
            </w:r>
            <w:r w:rsidRPr="006E5A21">
              <w:rPr>
                <w:rFonts w:eastAsia="Calibri" w:cs="Arial"/>
                <w:i/>
                <w:color w:val="FF0000"/>
                <w:sz w:val="20"/>
                <w:szCs w:val="20"/>
              </w:rPr>
              <w:t xml:space="preserve">y entidades públicas </w:t>
            </w:r>
            <w:r w:rsidRPr="006E5A21">
              <w:rPr>
                <w:rFonts w:eastAsia="Calibri" w:cs="Arial"/>
                <w:i/>
                <w:color w:val="000000"/>
                <w:sz w:val="20"/>
                <w:szCs w:val="20"/>
              </w:rPr>
              <w:t>que se sustenta en el saber hacer y en información empresarial no divulgada, esté protegida de manera adecuada y mejorar las condiciones y el marco para el desarrollo y la explotación de la innovación y la transferencia de conocimientos en el mercado.</w:t>
            </w:r>
          </w:p>
          <w:p w:rsidR="001D77C1" w:rsidRPr="006E5A21" w:rsidRDefault="001D77C1" w:rsidP="001D77C1">
            <w:pPr>
              <w:autoSpaceDE w:val="0"/>
              <w:autoSpaceDN w:val="0"/>
              <w:adjustRightInd w:val="0"/>
              <w:spacing w:before="100" w:after="100" w:line="240" w:lineRule="auto"/>
              <w:ind w:firstLine="567"/>
              <w:jc w:val="both"/>
              <w:rPr>
                <w:rFonts w:eastAsia="Calibri" w:cs="Arial"/>
                <w:color w:val="000000"/>
                <w:sz w:val="20"/>
                <w:szCs w:val="20"/>
              </w:rPr>
            </w:pPr>
            <w:r w:rsidRPr="006E5A21">
              <w:rPr>
                <w:rFonts w:eastAsia="Calibri" w:cs="Arial"/>
                <w:i/>
                <w:color w:val="000000"/>
                <w:sz w:val="20"/>
                <w:szCs w:val="20"/>
              </w:rPr>
              <w:t xml:space="preserve">Una seguridad jurídica reforzada contribuiría a aumentar el valor de las innovaciones que las empresas </w:t>
            </w:r>
            <w:r w:rsidRPr="006E5A21">
              <w:rPr>
                <w:rFonts w:eastAsia="Calibri" w:cs="Arial"/>
                <w:i/>
                <w:color w:val="FF0000"/>
                <w:sz w:val="20"/>
                <w:szCs w:val="20"/>
              </w:rPr>
              <w:t xml:space="preserve">y entidades públicas </w:t>
            </w:r>
            <w:r w:rsidRPr="006E5A21">
              <w:rPr>
                <w:rFonts w:eastAsia="Calibri" w:cs="Arial"/>
                <w:i/>
                <w:color w:val="000000"/>
                <w:sz w:val="20"/>
                <w:szCs w:val="20"/>
              </w:rPr>
              <w:t xml:space="preserve">tratan de proteger como secretos empresariales, ya que se reduciría el riesgo de apropiación indebida. Esto redundaría en efectos positivos en el funcionamiento del mercado, ya que las empresas, </w:t>
            </w:r>
            <w:r w:rsidRPr="006E5A21">
              <w:rPr>
                <w:rFonts w:eastAsia="Calibri" w:cs="Arial"/>
                <w:i/>
                <w:color w:val="000000"/>
                <w:sz w:val="20"/>
                <w:szCs w:val="20"/>
              </w:rPr>
              <w:lastRenderedPageBreak/>
              <w:t xml:space="preserve">especialmente las pequeñas y medianas empresas, </w:t>
            </w:r>
            <w:r w:rsidRPr="006E5A21">
              <w:rPr>
                <w:rFonts w:eastAsia="Calibri" w:cs="Arial"/>
                <w:i/>
                <w:color w:val="FF0000"/>
                <w:sz w:val="20"/>
                <w:szCs w:val="20"/>
              </w:rPr>
              <w:t xml:space="preserve">los centros públicos de investigación </w:t>
            </w:r>
            <w:r w:rsidRPr="006E5A21">
              <w:rPr>
                <w:rFonts w:eastAsia="Calibri" w:cs="Arial"/>
                <w:i/>
                <w:color w:val="000000"/>
                <w:sz w:val="20"/>
                <w:szCs w:val="20"/>
              </w:rPr>
              <w:t>y los investigadores podrían hacer un mejor uso de sus ideas innovadoras, cooperando, lo que contribuiría a aumentar la inversión del sector privado en investigación e innovación</w:t>
            </w:r>
            <w:r w:rsidRPr="006E5A21">
              <w:rPr>
                <w:rFonts w:eastAsia="Calibri" w:cs="Arial"/>
                <w:color w:val="000000"/>
                <w:sz w:val="20"/>
                <w:szCs w:val="20"/>
              </w:rPr>
              <w:t>.”</w:t>
            </w:r>
          </w:p>
          <w:p w:rsidR="001D77C1" w:rsidRPr="006E5A21" w:rsidRDefault="001D77C1" w:rsidP="001D77C1">
            <w:pPr>
              <w:autoSpaceDE w:val="0"/>
              <w:autoSpaceDN w:val="0"/>
              <w:adjustRightInd w:val="0"/>
              <w:spacing w:before="100" w:after="100" w:line="240" w:lineRule="auto"/>
              <w:jc w:val="both"/>
              <w:rPr>
                <w:rFonts w:eastAsia="Calibri" w:cs="Times New Roman"/>
                <w:sz w:val="20"/>
                <w:szCs w:val="20"/>
              </w:rPr>
            </w:pPr>
            <w:r w:rsidRPr="006E5A21">
              <w:rPr>
                <w:rFonts w:eastAsia="Calibri" w:cs="Times New Roman"/>
                <w:bCs/>
                <w:sz w:val="20"/>
                <w:szCs w:val="20"/>
              </w:rPr>
              <w:t>Por su parte, el a</w:t>
            </w:r>
            <w:r w:rsidRPr="006E5A21">
              <w:rPr>
                <w:rFonts w:eastAsia="Calibri" w:cs="Times New Roman"/>
                <w:b/>
                <w:bCs/>
                <w:sz w:val="20"/>
                <w:szCs w:val="20"/>
              </w:rPr>
              <w:t>partado III, párrafo segundo</w:t>
            </w:r>
            <w:r w:rsidRPr="006E5A21">
              <w:rPr>
                <w:rFonts w:eastAsia="Calibri" w:cs="Times New Roman"/>
                <w:bCs/>
                <w:sz w:val="20"/>
                <w:szCs w:val="20"/>
              </w:rPr>
              <w:t>, también sería corregido como sigue:</w:t>
            </w:r>
          </w:p>
          <w:p w:rsidR="001D77C1" w:rsidRPr="006E5A21" w:rsidRDefault="001D77C1" w:rsidP="001D77C1">
            <w:pPr>
              <w:autoSpaceDE w:val="0"/>
              <w:autoSpaceDN w:val="0"/>
              <w:adjustRightInd w:val="0"/>
              <w:spacing w:before="100" w:after="100" w:line="240" w:lineRule="auto"/>
              <w:ind w:firstLine="567"/>
              <w:jc w:val="both"/>
              <w:rPr>
                <w:rFonts w:eastAsia="Calibri" w:cs="Times New Roman"/>
                <w:sz w:val="20"/>
                <w:szCs w:val="20"/>
              </w:rPr>
            </w:pPr>
            <w:r w:rsidRPr="006E5A21">
              <w:rPr>
                <w:rFonts w:eastAsia="Calibri" w:cs="Times New Roman"/>
                <w:sz w:val="20"/>
                <w:szCs w:val="20"/>
              </w:rPr>
              <w:t>“</w:t>
            </w:r>
            <w:r w:rsidRPr="006E5A21">
              <w:rPr>
                <w:rFonts w:eastAsia="Calibri" w:cs="Times New Roman"/>
                <w:i/>
                <w:sz w:val="20"/>
                <w:szCs w:val="20"/>
              </w:rPr>
              <w:t xml:space="preserve">El capítulo I se inicia con la descripción del objeto de la ley, esto es, la protección de los secretos empresariales, estableciendo su definición conforme a los dictados de la Directiva UE 2016/943 del Parlamento Europeo y del Consejo, de 8 de junio de 2016. Esta definición constituye una de las novedades más sobresalientes de la presente ley, que configura dicha noción abarcando cualquier información, relativa a cualquier ámbito de la empresa </w:t>
            </w:r>
            <w:r w:rsidRPr="006E5A21">
              <w:rPr>
                <w:rFonts w:eastAsia="Calibri" w:cs="Times New Roman"/>
                <w:i/>
                <w:color w:val="FF0000"/>
                <w:sz w:val="20"/>
                <w:szCs w:val="20"/>
              </w:rPr>
              <w:t>o entidad pública</w:t>
            </w:r>
            <w:r w:rsidRPr="006E5A21">
              <w:rPr>
                <w:rFonts w:eastAsia="Calibri" w:cs="Times New Roman"/>
                <w:i/>
                <w:sz w:val="20"/>
                <w:szCs w:val="20"/>
              </w:rPr>
              <w:t>, que sea secreta, tenga valor empresarial y haya sido objeto de medidas razonables por parte de su titular para mantenerla en secreto</w:t>
            </w:r>
            <w:r w:rsidRPr="006E5A21">
              <w:rPr>
                <w:rFonts w:eastAsia="Calibri" w:cs="Times New Roman"/>
                <w:sz w:val="20"/>
                <w:szCs w:val="20"/>
              </w:rPr>
              <w:t>.”</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lastRenderedPageBreak/>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 (y Apartado III. Párrafo segundo)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ACEPTAN las precisiones sugeridas aunque en la adaptación del texto no se siga en todo los casos su literalidad.</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 Párrafo primero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modifica la expresión "derechos de propiedad intelectual" por "</w:t>
            </w:r>
            <w:r w:rsidRPr="006E5A21">
              <w:rPr>
                <w:rFonts w:eastAsia="Calibri" w:cs="Arial"/>
                <w:b/>
                <w:bCs/>
                <w:sz w:val="20"/>
                <w:szCs w:val="20"/>
                <w:lang w:val="es-ES_tradnl"/>
              </w:rPr>
              <w:t>derechos de propiedad industrial e intelectual</w:t>
            </w:r>
            <w:r w:rsidRPr="006E5A21">
              <w:rPr>
                <w:rFonts w:eastAsia="Calibri" w:cs="Arial"/>
                <w:bCs/>
                <w:sz w:val="20"/>
                <w:szCs w:val="20"/>
                <w:lang w:val="es-ES_tradnl"/>
              </w:rPr>
              <w:t>", traducción correcta de la expresión "</w:t>
            </w:r>
            <w:proofErr w:type="spellStart"/>
            <w:r w:rsidRPr="006E5A21">
              <w:rPr>
                <w:rFonts w:eastAsia="Calibri" w:cs="Arial"/>
                <w:bCs/>
                <w:sz w:val="20"/>
                <w:szCs w:val="20"/>
                <w:lang w:val="es-ES_tradnl"/>
              </w:rPr>
              <w:t>intellectual</w:t>
            </w:r>
            <w:proofErr w:type="spellEnd"/>
            <w:r w:rsidRPr="006E5A21">
              <w:rPr>
                <w:rFonts w:eastAsia="Calibri" w:cs="Arial"/>
                <w:bCs/>
                <w:sz w:val="20"/>
                <w:szCs w:val="20"/>
                <w:lang w:val="es-ES_tradnl"/>
              </w:rPr>
              <w:t xml:space="preserve"> </w:t>
            </w:r>
            <w:proofErr w:type="spellStart"/>
            <w:r w:rsidRPr="006E5A21">
              <w:rPr>
                <w:rFonts w:eastAsia="Calibri" w:cs="Arial"/>
                <w:bCs/>
                <w:sz w:val="20"/>
                <w:szCs w:val="20"/>
                <w:lang w:val="es-ES_tradnl"/>
              </w:rPr>
              <w:t>property</w:t>
            </w:r>
            <w:proofErr w:type="spellEnd"/>
            <w:r w:rsidRPr="006E5A21">
              <w:rPr>
                <w:rFonts w:eastAsia="Calibri" w:cs="Arial"/>
                <w:bCs/>
                <w:sz w:val="20"/>
                <w:szCs w:val="20"/>
                <w:lang w:val="es-ES_tradnl"/>
              </w:rPr>
              <w:t xml:space="preserve"> </w:t>
            </w:r>
            <w:proofErr w:type="spellStart"/>
            <w:r w:rsidRPr="006E5A21">
              <w:rPr>
                <w:rFonts w:eastAsia="Calibri" w:cs="Arial"/>
                <w:bCs/>
                <w:sz w:val="20"/>
                <w:szCs w:val="20"/>
                <w:lang w:val="es-ES_tradnl"/>
              </w:rPr>
              <w:t>rights</w:t>
            </w:r>
            <w:proofErr w:type="spellEnd"/>
            <w:r w:rsidRPr="006E5A21">
              <w:rPr>
                <w:rFonts w:eastAsia="Calibri" w:cs="Arial"/>
                <w:bCs/>
                <w:sz w:val="20"/>
                <w:szCs w:val="20"/>
                <w:lang w:val="es-ES_tradnl"/>
              </w:rPr>
              <w:t>". En España, los derechos de propiedad intelectual solo cubren el derecho de autor y no incluyen las patentes, diseños industriales ni marcas.</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 Párrafo primero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 xml:space="preserve">Exposición de </w:t>
            </w:r>
            <w:r w:rsidRPr="006E5A21">
              <w:rPr>
                <w:rFonts w:eastAsia="Times New Roman" w:cs="Times New Roman"/>
                <w:b/>
                <w:bCs/>
                <w:sz w:val="20"/>
                <w:szCs w:val="20"/>
              </w:rPr>
              <w:lastRenderedPageBreak/>
              <w:t>Motivos</w:t>
            </w:r>
          </w:p>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Apartado II</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color w:val="000000"/>
                <w:sz w:val="20"/>
                <w:szCs w:val="20"/>
              </w:rPr>
            </w:pPr>
            <w:r w:rsidRPr="006E5A21">
              <w:rPr>
                <w:rFonts w:eastAsia="Times New Roman" w:cs="Times New Roman"/>
                <w:b/>
                <w:bCs/>
                <w:sz w:val="20"/>
                <w:szCs w:val="20"/>
              </w:rPr>
              <w:lastRenderedPageBreak/>
              <w:t>CSIC</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II. Párrafos 3 a 5</w:t>
            </w:r>
          </w:p>
          <w:p w:rsidR="001D77C1" w:rsidRPr="006E5A21" w:rsidRDefault="001D77C1" w:rsidP="001D77C1">
            <w:pPr>
              <w:spacing w:after="0" w:line="240" w:lineRule="auto"/>
              <w:contextualSpacing/>
              <w:jc w:val="both"/>
              <w:rPr>
                <w:rFonts w:eastAsia="Calibri" w:cs="Times New Roman"/>
                <w:sz w:val="20"/>
                <w:szCs w:val="20"/>
              </w:rPr>
            </w:pPr>
          </w:p>
          <w:p w:rsidR="001D77C1" w:rsidRPr="006E5A21" w:rsidRDefault="001D77C1" w:rsidP="001D77C1">
            <w:pPr>
              <w:spacing w:after="0" w:line="240" w:lineRule="auto"/>
              <w:contextualSpacing/>
              <w:jc w:val="both"/>
              <w:rPr>
                <w:rFonts w:eastAsia="Calibri" w:cs="Times New Roman"/>
                <w:sz w:val="20"/>
                <w:szCs w:val="20"/>
              </w:rPr>
            </w:pPr>
            <w:r w:rsidRPr="006E5A21">
              <w:rPr>
                <w:rFonts w:eastAsia="Calibri" w:cs="Times New Roman"/>
                <w:sz w:val="20"/>
                <w:szCs w:val="20"/>
              </w:rPr>
              <w:lastRenderedPageBreak/>
              <w:t>En el párrafo 3 del apartado 2 de la Exposición de Motivos se señala que “</w:t>
            </w:r>
            <w:r w:rsidRPr="006E5A21">
              <w:rPr>
                <w:rFonts w:eastAsia="Calibri" w:cs="Times New Roman"/>
                <w:i/>
                <w:sz w:val="20"/>
                <w:szCs w:val="20"/>
              </w:rPr>
              <w:t>El objetivo de la iniciativa europea es, por un lado, garantizar que la competitividad de las empresas y organismos de investigación europeos que se basa en el saber hacer y en información empresarial no divulgada (secretos empresariales) esté protegida de manera adecuada</w:t>
            </w:r>
            <w:r w:rsidRPr="006E5A21">
              <w:rPr>
                <w:rFonts w:eastAsia="Calibri" w:cs="Times New Roman"/>
                <w:sz w:val="20"/>
                <w:szCs w:val="20"/>
              </w:rPr>
              <w:t xml:space="preserve"> (...)”. Pues bien, se observa que el “</w:t>
            </w:r>
            <w:r w:rsidRPr="006E5A21">
              <w:rPr>
                <w:rFonts w:eastAsia="Calibri" w:cs="Times New Roman"/>
                <w:i/>
                <w:sz w:val="20"/>
                <w:szCs w:val="20"/>
              </w:rPr>
              <w:t>saber hacer</w:t>
            </w:r>
            <w:r w:rsidRPr="006E5A21">
              <w:rPr>
                <w:rFonts w:eastAsia="Calibri" w:cs="Times New Roman"/>
                <w:sz w:val="20"/>
                <w:szCs w:val="20"/>
              </w:rPr>
              <w:t>” no es un conocimiento transcrito y por tanto no es transmisible a un tercero, como sí se puede hacer con el secreto. La naturaleza de ambos conceptos es muy diferente y no deberían mezclarse.</w:t>
            </w:r>
          </w:p>
          <w:p w:rsidR="001D77C1" w:rsidRPr="006E5A21" w:rsidRDefault="001D77C1" w:rsidP="001D77C1">
            <w:pPr>
              <w:spacing w:after="0" w:line="240" w:lineRule="auto"/>
              <w:contextualSpacing/>
              <w:jc w:val="both"/>
              <w:rPr>
                <w:rFonts w:eastAsia="Calibri" w:cs="Times New Roman"/>
                <w:i/>
                <w:sz w:val="20"/>
                <w:szCs w:val="20"/>
              </w:rPr>
            </w:pPr>
            <w:r w:rsidRPr="006E5A21">
              <w:rPr>
                <w:rFonts w:eastAsia="Calibri" w:cs="Times New Roman"/>
                <w:sz w:val="20"/>
                <w:szCs w:val="20"/>
              </w:rPr>
              <w:t>Así, se sugiere que “</w:t>
            </w:r>
            <w:r w:rsidRPr="006E5A21">
              <w:rPr>
                <w:rFonts w:eastAsia="Calibri" w:cs="Times New Roman"/>
                <w:i/>
                <w:sz w:val="20"/>
                <w:szCs w:val="20"/>
              </w:rPr>
              <w:t>sería bueno poner algún ejemplo concreto de lo consiste un secreto industrial ya que tiende a confundirse con el saber hacer.</w:t>
            </w:r>
          </w:p>
          <w:p w:rsidR="001D77C1" w:rsidRPr="006E5A21" w:rsidRDefault="001D77C1" w:rsidP="001D77C1">
            <w:pPr>
              <w:spacing w:after="0" w:line="240" w:lineRule="auto"/>
              <w:contextualSpacing/>
              <w:jc w:val="both"/>
              <w:rPr>
                <w:rFonts w:eastAsia="Calibri" w:cs="Times New Roman"/>
                <w:i/>
                <w:sz w:val="20"/>
                <w:szCs w:val="20"/>
              </w:rPr>
            </w:pPr>
          </w:p>
          <w:p w:rsidR="001D77C1" w:rsidRPr="006E5A21" w:rsidRDefault="001D77C1" w:rsidP="001D77C1">
            <w:pPr>
              <w:spacing w:after="0" w:line="240" w:lineRule="auto"/>
              <w:contextualSpacing/>
              <w:jc w:val="both"/>
              <w:rPr>
                <w:rFonts w:eastAsia="Calibri" w:cs="Times New Roman"/>
                <w:i/>
                <w:sz w:val="20"/>
                <w:szCs w:val="20"/>
              </w:rPr>
            </w:pPr>
            <w:r w:rsidRPr="006E5A21">
              <w:rPr>
                <w:rFonts w:eastAsia="Calibri" w:cs="Times New Roman"/>
                <w:i/>
                <w:sz w:val="20"/>
                <w:szCs w:val="20"/>
              </w:rPr>
              <w:t>Más concretamente, las categorías susceptibles de constituir secreto empresarial son: los procesos, técnicas y conocimientos de fabricación, los planos, dibujos, modelos y manuales, los proyectos, los algoritmos y softwares, bases de datos, los ingredientes y fórmulas de fabricación de productos.</w:t>
            </w:r>
          </w:p>
          <w:p w:rsidR="001D77C1" w:rsidRPr="006E5A21" w:rsidRDefault="001D77C1" w:rsidP="001D77C1">
            <w:pPr>
              <w:spacing w:after="0" w:line="240" w:lineRule="auto"/>
              <w:contextualSpacing/>
              <w:jc w:val="both"/>
              <w:rPr>
                <w:rFonts w:eastAsia="Calibri" w:cs="Times New Roman"/>
                <w:i/>
                <w:sz w:val="20"/>
                <w:szCs w:val="20"/>
              </w:rPr>
            </w:pPr>
          </w:p>
          <w:p w:rsidR="001D77C1" w:rsidRPr="006E5A21" w:rsidRDefault="001D77C1" w:rsidP="001D77C1">
            <w:pPr>
              <w:spacing w:after="0" w:line="240" w:lineRule="auto"/>
              <w:contextualSpacing/>
              <w:jc w:val="both"/>
              <w:rPr>
                <w:rFonts w:eastAsia="Calibri" w:cs="Times New Roman"/>
                <w:sz w:val="20"/>
                <w:szCs w:val="20"/>
              </w:rPr>
            </w:pPr>
            <w:r w:rsidRPr="006E5A21">
              <w:rPr>
                <w:rFonts w:eastAsia="Calibri" w:cs="Times New Roman"/>
                <w:i/>
                <w:sz w:val="20"/>
                <w:szCs w:val="20"/>
              </w:rPr>
              <w:t>Además, y teniendo en cuenta el contexto de un organismo público de investigación se puede considerar como secreto industrial toda información nueva sobre actividades de investigación y desarrollo, entre otras, información que se incluye como conocimiento previo de un contrato de investigación, la memoria de un proyecto de investigación, entre otros</w:t>
            </w:r>
            <w:r w:rsidRPr="006E5A21">
              <w:rPr>
                <w:rFonts w:eastAsia="Calibri" w:cs="Times New Roman"/>
                <w:sz w:val="20"/>
                <w:szCs w:val="20"/>
              </w:rPr>
              <w:t>.”</w:t>
            </w:r>
          </w:p>
          <w:p w:rsidR="001D77C1" w:rsidRPr="006E5A21" w:rsidRDefault="001D77C1" w:rsidP="001D77C1">
            <w:pPr>
              <w:spacing w:beforeLines="60" w:before="144" w:afterLines="60" w:after="144" w:line="240" w:lineRule="auto"/>
              <w:jc w:val="both"/>
              <w:rPr>
                <w:rFonts w:eastAsia="Calibri" w:cs="Arial"/>
                <w:bCs/>
                <w:sz w:val="20"/>
                <w:szCs w:val="20"/>
              </w:rPr>
            </w:pPr>
            <w:r w:rsidRPr="006E5A21">
              <w:rPr>
                <w:rFonts w:eastAsia="Calibri" w:cs="Arial"/>
                <w:bCs/>
                <w:sz w:val="20"/>
                <w:szCs w:val="20"/>
              </w:rPr>
              <w:t xml:space="preserve">En otro orden de cosas, se llama la atención sobre el la definición del objeto de la norma a la que se refiere el considerando 14 de la directiva señalándose que </w:t>
            </w:r>
            <w:r w:rsidRPr="006E5A21">
              <w:rPr>
                <w:rFonts w:eastAsia="Calibri" w:cs="Arial"/>
                <w:bCs/>
                <w:sz w:val="20"/>
                <w:szCs w:val="20"/>
                <w:lang w:val="es-ES_tradnl"/>
              </w:rPr>
              <w:t>“</w:t>
            </w:r>
            <w:r w:rsidRPr="006E5A21">
              <w:rPr>
                <w:rFonts w:eastAsia="Calibri" w:cs="Arial"/>
                <w:bCs/>
                <w:i/>
                <w:sz w:val="20"/>
                <w:szCs w:val="20"/>
                <w:lang w:val="es-ES_tradnl"/>
              </w:rPr>
              <w:t xml:space="preserve">Se excluye de la definición de secreto comercial la información de escasa </w:t>
            </w:r>
            <w:r w:rsidRPr="006E5A21">
              <w:rPr>
                <w:rFonts w:eastAsia="Calibri" w:cs="Arial"/>
                <w:bCs/>
                <w:i/>
                <w:sz w:val="20"/>
                <w:szCs w:val="20"/>
                <w:lang w:val="es-ES_tradnl"/>
              </w:rPr>
              <w:lastRenderedPageBreak/>
              <w:t>importancia, así como la experiencia y las competencias adquiridas por los trabajadores durante el normal transcurso de su carrera profesional y la información que es de conocimiento general o fácilmente accesible en los círculos en que normalmente se utilice el tipo de información en cuestión</w:t>
            </w:r>
            <w:r w:rsidRPr="006E5A21">
              <w:rPr>
                <w:rFonts w:eastAsia="Calibri" w:cs="Arial"/>
                <w:bCs/>
                <w:sz w:val="20"/>
                <w:szCs w:val="20"/>
                <w:lang w:val="es-ES_tradnl"/>
              </w:rPr>
              <w:t>.”</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lastRenderedPageBreak/>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II. Párrafos 3 a 5</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lastRenderedPageBreak/>
              <w:t>No tiene en cuenta la observación sobre el “saber hacer” que la propia directiva a transponer en su título en inglés se denomina “</w:t>
            </w:r>
            <w:proofErr w:type="spellStart"/>
            <w:r w:rsidRPr="006E5A21">
              <w:rPr>
                <w:rFonts w:eastAsia="Calibri" w:cs="Arial"/>
                <w:bCs/>
                <w:i/>
                <w:sz w:val="20"/>
                <w:szCs w:val="20"/>
                <w:lang w:val="es-ES_tradnl"/>
              </w:rPr>
              <w:t>on</w:t>
            </w:r>
            <w:proofErr w:type="spellEnd"/>
            <w:r w:rsidRPr="006E5A21">
              <w:rPr>
                <w:rFonts w:eastAsia="Calibri" w:cs="Arial"/>
                <w:bCs/>
                <w:i/>
                <w:sz w:val="20"/>
                <w:szCs w:val="20"/>
                <w:lang w:val="es-ES_tradnl"/>
              </w:rPr>
              <w:t xml:space="preserve"> </w:t>
            </w:r>
            <w:proofErr w:type="spellStart"/>
            <w:r w:rsidRPr="006E5A21">
              <w:rPr>
                <w:rFonts w:eastAsia="Calibri" w:cs="Arial"/>
                <w:bCs/>
                <w:i/>
                <w:sz w:val="20"/>
                <w:szCs w:val="20"/>
                <w:lang w:val="es-ES_tradnl"/>
              </w:rPr>
              <w:t>the</w:t>
            </w:r>
            <w:proofErr w:type="spellEnd"/>
            <w:r w:rsidRPr="006E5A21">
              <w:rPr>
                <w:rFonts w:eastAsia="Calibri" w:cs="Arial"/>
                <w:bCs/>
                <w:i/>
                <w:sz w:val="20"/>
                <w:szCs w:val="20"/>
                <w:lang w:val="es-ES_tradnl"/>
              </w:rPr>
              <w:t xml:space="preserve"> </w:t>
            </w:r>
            <w:proofErr w:type="spellStart"/>
            <w:r w:rsidRPr="006E5A21">
              <w:rPr>
                <w:rFonts w:eastAsia="Calibri" w:cs="Arial"/>
                <w:bCs/>
                <w:i/>
                <w:sz w:val="20"/>
                <w:szCs w:val="20"/>
                <w:lang w:val="es-ES_tradnl"/>
              </w:rPr>
              <w:t>protection</w:t>
            </w:r>
            <w:proofErr w:type="spellEnd"/>
            <w:r w:rsidRPr="006E5A21">
              <w:rPr>
                <w:rFonts w:eastAsia="Calibri" w:cs="Arial"/>
                <w:bCs/>
                <w:i/>
                <w:sz w:val="20"/>
                <w:szCs w:val="20"/>
                <w:lang w:val="es-ES_tradnl"/>
              </w:rPr>
              <w:t xml:space="preserve"> of </w:t>
            </w:r>
            <w:proofErr w:type="spellStart"/>
            <w:r w:rsidRPr="006E5A21">
              <w:rPr>
                <w:rFonts w:eastAsia="Calibri" w:cs="Arial"/>
                <w:bCs/>
                <w:i/>
                <w:sz w:val="20"/>
                <w:szCs w:val="20"/>
                <w:lang w:val="es-ES_tradnl"/>
              </w:rPr>
              <w:t>undisclosed</w:t>
            </w:r>
            <w:proofErr w:type="spellEnd"/>
            <w:r w:rsidRPr="006E5A21">
              <w:rPr>
                <w:rFonts w:eastAsia="Calibri" w:cs="Arial"/>
                <w:bCs/>
                <w:i/>
                <w:sz w:val="20"/>
                <w:szCs w:val="20"/>
                <w:lang w:val="es-ES_tradnl"/>
              </w:rPr>
              <w:t xml:space="preserve"> know-how and </w:t>
            </w:r>
            <w:proofErr w:type="spellStart"/>
            <w:r w:rsidRPr="006E5A21">
              <w:rPr>
                <w:rFonts w:eastAsia="Calibri" w:cs="Arial"/>
                <w:bCs/>
                <w:i/>
                <w:sz w:val="20"/>
                <w:szCs w:val="20"/>
                <w:lang w:val="es-ES_tradnl"/>
              </w:rPr>
              <w:t>business</w:t>
            </w:r>
            <w:proofErr w:type="spellEnd"/>
            <w:r w:rsidRPr="006E5A21">
              <w:rPr>
                <w:rFonts w:eastAsia="Calibri" w:cs="Arial"/>
                <w:bCs/>
                <w:i/>
                <w:sz w:val="20"/>
                <w:szCs w:val="20"/>
                <w:lang w:val="es-ES_tradnl"/>
              </w:rPr>
              <w:t xml:space="preserve"> </w:t>
            </w:r>
            <w:proofErr w:type="spellStart"/>
            <w:r w:rsidRPr="006E5A21">
              <w:rPr>
                <w:rFonts w:eastAsia="Calibri" w:cs="Arial"/>
                <w:bCs/>
                <w:i/>
                <w:sz w:val="20"/>
                <w:szCs w:val="20"/>
                <w:lang w:val="es-ES_tradnl"/>
              </w:rPr>
              <w:t>information</w:t>
            </w:r>
            <w:proofErr w:type="spellEnd"/>
            <w:r w:rsidRPr="006E5A21">
              <w:rPr>
                <w:rFonts w:eastAsia="Calibri" w:cs="Arial"/>
                <w:bCs/>
                <w:i/>
                <w:sz w:val="20"/>
                <w:szCs w:val="20"/>
                <w:lang w:val="es-ES_tradnl"/>
              </w:rPr>
              <w:t xml:space="preserve"> (</w:t>
            </w:r>
            <w:proofErr w:type="spellStart"/>
            <w:r w:rsidRPr="006E5A21">
              <w:rPr>
                <w:rFonts w:eastAsia="Calibri" w:cs="Arial"/>
                <w:bCs/>
                <w:i/>
                <w:sz w:val="20"/>
                <w:szCs w:val="20"/>
                <w:lang w:val="es-ES_tradnl"/>
              </w:rPr>
              <w:t>trade</w:t>
            </w:r>
            <w:proofErr w:type="spellEnd"/>
            <w:r w:rsidRPr="006E5A21">
              <w:rPr>
                <w:rFonts w:eastAsia="Calibri" w:cs="Arial"/>
                <w:bCs/>
                <w:i/>
                <w:sz w:val="20"/>
                <w:szCs w:val="20"/>
                <w:lang w:val="es-ES_tradnl"/>
              </w:rPr>
              <w:t xml:space="preserve"> </w:t>
            </w:r>
            <w:proofErr w:type="spellStart"/>
            <w:r w:rsidRPr="006E5A21">
              <w:rPr>
                <w:rFonts w:eastAsia="Calibri" w:cs="Arial"/>
                <w:bCs/>
                <w:i/>
                <w:sz w:val="20"/>
                <w:szCs w:val="20"/>
                <w:lang w:val="es-ES_tradnl"/>
              </w:rPr>
              <w:t>secrets</w:t>
            </w:r>
            <w:proofErr w:type="spellEnd"/>
            <w:r w:rsidRPr="006E5A21">
              <w:rPr>
                <w:rFonts w:eastAsia="Calibri" w:cs="Arial"/>
                <w:bCs/>
                <w:i/>
                <w:sz w:val="20"/>
                <w:szCs w:val="20"/>
                <w:lang w:val="es-ES_tradnl"/>
              </w:rPr>
              <w:t>)</w:t>
            </w:r>
            <w:r w:rsidRPr="006E5A21">
              <w:rPr>
                <w:rFonts w:eastAsia="Calibri" w:cs="Arial"/>
                <w:bCs/>
                <w:sz w:val="20"/>
                <w:szCs w:val="20"/>
                <w:lang w:val="es-ES_tradnl"/>
              </w:rPr>
              <w:t>” aunque la traducción oficial al español haya sido “</w:t>
            </w:r>
            <w:r w:rsidRPr="006E5A21">
              <w:rPr>
                <w:rFonts w:eastAsia="Calibri" w:cs="Arial"/>
                <w:bCs/>
                <w:i/>
                <w:sz w:val="20"/>
                <w:szCs w:val="20"/>
                <w:lang w:val="es-ES_tradnl"/>
              </w:rPr>
              <w:t>relativa a la protección de los conocimientos técnicos y la información empresarial no divulgados (secretos comerciales)</w:t>
            </w:r>
            <w:r w:rsidRPr="006E5A21">
              <w:rPr>
                <w:rFonts w:eastAsia="Calibri" w:cs="Arial"/>
                <w:bCs/>
                <w:sz w:val="20"/>
                <w:szCs w:val="20"/>
                <w:lang w:val="es-ES_tradnl"/>
              </w:rPr>
              <w:t>”. Así, aunque la traducción de “know-how” haya sido “conocimientos técnicos” nada obsta a que se incluya también el concepto de “saber hacer” comúnmente aceptado.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Por otra parte, debe tenerse en cuenta que una de las particularidades de los secretos empresariales es que pueden referirse a conocimientos “inmateriales” y a ello se refieren los considerandos 7 y 30 de la directiva cuando hablan de la naturaleza inmaterial de los secretos empresariales. Por ello precisamente el art. 3.1.a) del APL ofrece una amplia protección a los secretos empresariales respecto del “</w:t>
            </w:r>
            <w:r w:rsidRPr="006E5A21">
              <w:rPr>
                <w:rFonts w:eastAsia="Calibri" w:cs="Arial"/>
                <w:bCs/>
                <w:i/>
                <w:sz w:val="20"/>
                <w:szCs w:val="20"/>
                <w:lang w:val="es-ES_tradnl"/>
              </w:rPr>
              <w:t>acceso, apropiación o copia no autorizadas de documentos, objetos, materiales, sustancias, ficheros electrónicos u otros soportes, que contengan el secreto empresarial o a partir de los cuales se pueda deducir</w:t>
            </w:r>
            <w:r w:rsidRPr="006E5A21">
              <w:rPr>
                <w:rFonts w:eastAsia="Calibri" w:cs="Arial"/>
                <w:bCs/>
                <w:sz w:val="20"/>
                <w:szCs w:val="20"/>
                <w:lang w:val="es-ES_tradnl"/>
              </w:rPr>
              <w:t>” y de ahí que no proceda elaborar un listado de categorías como se sugiere en la observación.</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Finalmente, lo señalado respecto del considerando 14 de la directiva, SE ACEPTA.</w:t>
            </w:r>
            <w:r w:rsidR="003C001D">
              <w:rPr>
                <w:rFonts w:eastAsia="Calibri" w:cs="Arial"/>
                <w:bCs/>
                <w:sz w:val="20"/>
                <w:szCs w:val="20"/>
                <w:lang w:val="es-ES_tradnl"/>
              </w:rPr>
              <w:t xml:space="preserve"> Siguiendo el criterio de la directiva, esta aclaración se introduce en la parte expositiva del anteproyecto.</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 xml:space="preserve">Apartado II. Párrafo quinto.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Se considera necesaria la inclusión de parte del considerando 14 de la Directiva (UE) 2016/94 a los efectos interpretativos de las disposiciones normativas a la que acompaña para la búsqueda de la </w:t>
            </w:r>
            <w:r w:rsidRPr="006E5A21">
              <w:rPr>
                <w:rFonts w:eastAsia="Calibri" w:cs="Arial"/>
                <w:bCs/>
                <w:i/>
                <w:sz w:val="20"/>
                <w:szCs w:val="20"/>
                <w:lang w:val="es-ES_tradnl"/>
              </w:rPr>
              <w:t xml:space="preserve">ratio </w:t>
            </w:r>
            <w:proofErr w:type="spellStart"/>
            <w:r w:rsidRPr="006E5A21">
              <w:rPr>
                <w:rFonts w:eastAsia="Calibri" w:cs="Arial"/>
                <w:bCs/>
                <w:i/>
                <w:sz w:val="20"/>
                <w:szCs w:val="20"/>
                <w:lang w:val="es-ES_tradnl"/>
              </w:rPr>
              <w:t>legis</w:t>
            </w:r>
            <w:proofErr w:type="spellEnd"/>
            <w:r w:rsidRPr="006E5A21">
              <w:rPr>
                <w:rFonts w:eastAsia="Calibri" w:cs="Arial"/>
                <w:bCs/>
                <w:sz w:val="20"/>
                <w:szCs w:val="20"/>
                <w:lang w:val="es-ES_tradnl"/>
              </w:rPr>
              <w:t xml:space="preserve"> de la norma y coadyuvar, de ese modo, a la obtención de una interpretación finalista sobre la norma en relación con el aspecto señalado. Por ello, se sugiere añadir el siguiente párrafo: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 “</w:t>
            </w:r>
            <w:r w:rsidRPr="006E5A21">
              <w:rPr>
                <w:rFonts w:eastAsia="Calibri" w:cs="Arial"/>
                <w:bCs/>
                <w:i/>
                <w:sz w:val="20"/>
                <w:szCs w:val="20"/>
                <w:lang w:val="es-ES_tradnl"/>
              </w:rPr>
              <w:t>Se excluye de la definición de secreto comercial la información de escasa importancia, así como la experiencia y las competencias adquiridas por los trabajadores durante el normal transcurso de su carrera profesional y la información que es de conocimiento general o fácilmente accesible en los círculos en que normalmente se utilice el tipo de información en cuestión</w:t>
            </w:r>
            <w:r w:rsidRPr="006E5A21">
              <w:rPr>
                <w:rFonts w:eastAsia="Calibri" w:cs="Arial"/>
                <w:bCs/>
                <w:sz w:val="20"/>
                <w:szCs w:val="20"/>
                <w:lang w:val="es-ES_tradnl"/>
              </w:rPr>
              <w:t>.”</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 xml:space="preserve">Apartado II. Párrafo quinto.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 - Portugal</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 xml:space="preserve">Apartado II. Párrafo quinto.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recomienda incluir la referencia a que la información ha de ser “</w:t>
            </w:r>
            <w:r w:rsidRPr="006E5A21">
              <w:rPr>
                <w:rFonts w:eastAsia="Calibri" w:cs="Arial"/>
                <w:bCs/>
                <w:i/>
                <w:sz w:val="20"/>
                <w:szCs w:val="20"/>
                <w:lang w:val="es-ES_tradnl"/>
              </w:rPr>
              <w:t>adecuadamente identificada</w:t>
            </w:r>
            <w:r w:rsidRPr="006E5A21">
              <w:rPr>
                <w:rFonts w:eastAsia="Calibri" w:cs="Arial"/>
                <w:bCs/>
                <w:sz w:val="20"/>
                <w:szCs w:val="20"/>
                <w:lang w:val="es-ES_tradnl"/>
              </w:rPr>
              <w:t xml:space="preserve">”.  </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 xml:space="preserve">Apartado II. Párrafo quinto.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Atendiendo a los principios de buena regulación, no puede seguirse la recomendación formulada pues el APL sigue la definición de secreto empresarial de la directiva al no existir ésta en nuestro ordenamiento y ser uno de los objetivos de la </w:t>
            </w:r>
            <w:r w:rsidRPr="006E5A21">
              <w:rPr>
                <w:rFonts w:eastAsia="Calibri" w:cs="Arial"/>
                <w:bCs/>
                <w:sz w:val="20"/>
                <w:szCs w:val="20"/>
                <w:lang w:val="es-ES_tradnl"/>
              </w:rPr>
              <w:lastRenderedPageBreak/>
              <w:t xml:space="preserve">propia directiva el de establecer una única definición en toda la UE. </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 - Portugal</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 xml:space="preserve">Apartado II. Párrafo séptimo. </w:t>
            </w:r>
          </w:p>
          <w:p w:rsidR="001D77C1" w:rsidRPr="006E5A21" w:rsidRDefault="001D77C1" w:rsidP="001D77C1">
            <w:pPr>
              <w:spacing w:after="0" w:line="240" w:lineRule="auto"/>
              <w:contextualSpacing/>
              <w:jc w:val="both"/>
              <w:rPr>
                <w:rFonts w:eastAsia="Calibri" w:cs="Times New Roman"/>
                <w:sz w:val="20"/>
                <w:szCs w:val="20"/>
              </w:rPr>
            </w:pPr>
          </w:p>
          <w:p w:rsidR="001D77C1" w:rsidRPr="006E5A21" w:rsidRDefault="001D77C1" w:rsidP="001D77C1">
            <w:pPr>
              <w:spacing w:after="0" w:line="240" w:lineRule="auto"/>
              <w:contextualSpacing/>
              <w:jc w:val="both"/>
              <w:rPr>
                <w:rFonts w:eastAsia="Calibri" w:cs="Times New Roman"/>
                <w:sz w:val="20"/>
                <w:szCs w:val="20"/>
              </w:rPr>
            </w:pPr>
            <w:r w:rsidRPr="006E5A21">
              <w:rPr>
                <w:rFonts w:eastAsia="Calibri" w:cs="Times New Roman"/>
                <w:sz w:val="20"/>
                <w:szCs w:val="20"/>
              </w:rPr>
              <w:t xml:space="preserve">En cuanto a las vías de acción civil, la obtención, revelación o uso ilícito de un secreto empresarial puede conllevar graves pérdidas, por lo que la vía penal, aunque excepcional es la que suele otorgar una defensa más efectiva y disuasoria. De ahí que se recomiende la mención a la misma en esta ley.  </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 xml:space="preserve">Apartado II. Párrafo séptimo. </w:t>
            </w:r>
          </w:p>
          <w:p w:rsidR="001D77C1" w:rsidRPr="006E5A21" w:rsidRDefault="001D77C1" w:rsidP="00886538">
            <w:pPr>
              <w:spacing w:beforeLines="60" w:before="144" w:afterLines="60" w:after="144" w:line="240" w:lineRule="auto"/>
              <w:jc w:val="both"/>
              <w:rPr>
                <w:rFonts w:eastAsia="Calibri" w:cs="Arial"/>
                <w:bCs/>
                <w:sz w:val="20"/>
                <w:szCs w:val="20"/>
              </w:rPr>
            </w:pPr>
            <w:r w:rsidRPr="006E5A21">
              <w:rPr>
                <w:rFonts w:eastAsia="Calibri" w:cs="Arial"/>
                <w:bCs/>
                <w:sz w:val="20"/>
                <w:szCs w:val="20"/>
                <w:lang w:val="es-ES_tradnl"/>
              </w:rPr>
              <w:t>Ya se señala en la MAIN que acompaña al APL que “</w:t>
            </w:r>
            <w:r w:rsidRPr="00F82D40">
              <w:rPr>
                <w:rFonts w:eastAsia="Calibri" w:cs="Arial"/>
                <w:bCs/>
                <w:i/>
                <w:sz w:val="20"/>
                <w:szCs w:val="20"/>
                <w:lang w:val="es-ES_tradnl"/>
              </w:rPr>
              <w:t>Nuestro Código Penal, por su parte, en sus artículos 278 a 280, también otorga protección a los secretos empresariales, imponiendo penas de prisión que pueden alcanzar hasta los cinco años, si bien nuestros Tribunales son bastante reacios a considerar la existencia de tales delitos siendo más proclives a entender que se trata de ilícitos civiles pero no penales</w:t>
            </w:r>
            <w:r w:rsidRPr="006E5A21">
              <w:rPr>
                <w:rFonts w:eastAsia="Calibri" w:cs="Arial"/>
                <w:bCs/>
                <w:sz w:val="20"/>
                <w:szCs w:val="20"/>
                <w:lang w:val="es-ES_tradnl"/>
              </w:rPr>
              <w:t>.”.</w:t>
            </w:r>
            <w:r w:rsidR="003C001D">
              <w:rPr>
                <w:rFonts w:eastAsia="Calibri" w:cs="Arial"/>
                <w:bCs/>
                <w:sz w:val="20"/>
                <w:szCs w:val="20"/>
                <w:lang w:val="es-ES_tradnl"/>
              </w:rPr>
              <w:t xml:space="preserve"> </w:t>
            </w:r>
            <w:r w:rsidR="00886538">
              <w:rPr>
                <w:rFonts w:eastAsia="Calibri" w:cs="Arial"/>
                <w:bCs/>
                <w:sz w:val="20"/>
                <w:szCs w:val="20"/>
                <w:lang w:val="es-ES_tradnl"/>
              </w:rPr>
              <w:t>Así, n</w:t>
            </w:r>
            <w:r w:rsidR="003C001D">
              <w:rPr>
                <w:rFonts w:eastAsia="Calibri" w:cs="Arial"/>
                <w:bCs/>
                <w:sz w:val="20"/>
                <w:szCs w:val="20"/>
                <w:lang w:val="es-ES_tradnl"/>
              </w:rPr>
              <w:t>o se considera necesario trasladar esta mención a la exposición de motivos.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Exposición de Motivos.</w:t>
            </w:r>
          </w:p>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Apartado III</w:t>
            </w:r>
          </w:p>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Apartado III. Párrafo tercero.</w:t>
            </w:r>
          </w:p>
          <w:p w:rsidR="001D77C1" w:rsidRPr="006E5A21" w:rsidRDefault="001D77C1" w:rsidP="001D77C1">
            <w:pPr>
              <w:spacing w:after="0" w:line="240" w:lineRule="auto"/>
              <w:contextualSpacing/>
              <w:jc w:val="both"/>
              <w:rPr>
                <w:rFonts w:eastAsia="Calibri" w:cs="Times New Roman"/>
                <w:b/>
                <w:sz w:val="20"/>
                <w:szCs w:val="20"/>
              </w:rPr>
            </w:pPr>
          </w:p>
          <w:p w:rsidR="001D77C1" w:rsidRPr="006E5A21" w:rsidRDefault="001D77C1" w:rsidP="001D77C1">
            <w:pPr>
              <w:spacing w:after="0" w:line="240" w:lineRule="auto"/>
              <w:contextualSpacing/>
              <w:jc w:val="both"/>
              <w:rPr>
                <w:rFonts w:eastAsia="Calibri" w:cs="Times New Roman"/>
                <w:sz w:val="20"/>
                <w:szCs w:val="20"/>
              </w:rPr>
            </w:pPr>
            <w:r w:rsidRPr="006E5A21">
              <w:rPr>
                <w:rFonts w:eastAsia="Calibri" w:cs="Times New Roman"/>
                <w:sz w:val="20"/>
                <w:szCs w:val="20"/>
              </w:rPr>
              <w:t>El concepto de “poseedor” es más amplio que el de titular. Engloba también a los licenciatarios o a quienes cuentan con un derecho de uso sin que este derecho sea susceptible de transmisión patrimonial, condición que solo recae sobre quien es titular. La redacción propuesta en el anteproyecto de Ley limita indebidamente el ámbito de aplicación de la norma comunitaria en perjuicio de quienes no siendo titulares del derecho puedan verse perjudicados por la vulneración de derechos ya contractuales o extracontractuales por parte de terceros que accedan al contenido de la información que esté bajo su control.</w:t>
            </w: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3C001D" w:rsidRDefault="001D77C1" w:rsidP="003C001D">
            <w:pPr>
              <w:spacing w:after="0" w:line="240" w:lineRule="auto"/>
              <w:contextualSpacing/>
              <w:jc w:val="both"/>
              <w:rPr>
                <w:rFonts w:eastAsia="Calibri" w:cs="Times New Roman"/>
                <w:b/>
                <w:sz w:val="20"/>
                <w:szCs w:val="20"/>
              </w:rPr>
            </w:pPr>
            <w:r w:rsidRPr="006E5A21">
              <w:rPr>
                <w:rFonts w:eastAsia="Calibri" w:cs="Times New Roman"/>
                <w:b/>
                <w:sz w:val="20"/>
                <w:szCs w:val="20"/>
              </w:rPr>
              <w:t>Apartado III. Párrafo tercero.</w:t>
            </w:r>
          </w:p>
          <w:p w:rsidR="003C001D" w:rsidRDefault="003C001D" w:rsidP="003C001D">
            <w:pPr>
              <w:spacing w:after="0" w:line="240" w:lineRule="auto"/>
              <w:contextualSpacing/>
              <w:jc w:val="both"/>
              <w:rPr>
                <w:rFonts w:eastAsia="Calibri" w:cs="Times New Roman"/>
                <w:b/>
                <w:sz w:val="20"/>
                <w:szCs w:val="20"/>
              </w:rPr>
            </w:pPr>
          </w:p>
          <w:p w:rsidR="001D77C1" w:rsidRPr="006E5A21" w:rsidRDefault="001D77C1" w:rsidP="003C001D">
            <w:pPr>
              <w:spacing w:after="0" w:line="240" w:lineRule="auto"/>
              <w:contextualSpacing/>
              <w:jc w:val="both"/>
              <w:rPr>
                <w:rFonts w:eastAsia="Calibri" w:cs="Arial"/>
                <w:bCs/>
                <w:sz w:val="20"/>
                <w:szCs w:val="20"/>
                <w:lang w:val="es-ES_tradnl"/>
              </w:rPr>
            </w:pPr>
            <w:r w:rsidRPr="006E5A21">
              <w:rPr>
                <w:rFonts w:eastAsia="Calibri" w:cs="Arial"/>
                <w:bCs/>
                <w:sz w:val="20"/>
                <w:szCs w:val="20"/>
                <w:lang w:val="es-ES_tradnl"/>
              </w:rPr>
              <w:t>No se comparte la observación pues queda claro tanto en la Exposición de Motivos y como en la MAIN por qué se cambia precisamente la palabra “poseedor” por “titular”. En concreto, la MAIN señala lo siguiente:</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 </w:t>
            </w:r>
            <w:r w:rsidRPr="006E5A21">
              <w:rPr>
                <w:rFonts w:eastAsia="Calibri" w:cs="Arial"/>
                <w:bCs/>
                <w:i/>
                <w:sz w:val="20"/>
                <w:szCs w:val="20"/>
                <w:lang w:val="es-ES_tradnl"/>
              </w:rPr>
              <w:t xml:space="preserve">el beneficiado por los derechos que confiere la directiva es, según la traducción al castellano publicada en el Diario Oficial, el “poseedor” del secreto en cuestión. Según el art. 2.2, se define como “cualquier persona física o jurídica que legítimamente ejerza el control de un secreto comercial”. No obstante, no parece acertada la elección de esta traducción pues, siguiendo los considerandos 2, 3 o 4 de la directiva, el concepto no parece referirse al “poseedor” en el sentido de </w:t>
            </w:r>
            <w:r w:rsidRPr="006E5A21">
              <w:rPr>
                <w:rFonts w:eastAsia="Calibri" w:cs="Arial"/>
                <w:bCs/>
                <w:i/>
                <w:sz w:val="20"/>
                <w:szCs w:val="20"/>
                <w:lang w:val="es-ES_tradnl"/>
              </w:rPr>
              <w:lastRenderedPageBreak/>
              <w:t>nuestra tradición jurídica como sucede con el art. 432 Código Civil cuando habla de «tenedor de la cosa o derecho para conservarlos o disfrutarlos, perteneciendo el dominio a otra persona» sino que el sujeto activo de los derechos concedidos en virtud de la directiva se encuentra en la órbita del “creador”, del “innovador”, de la “empresa”, y en este sentido, parece más apropiado referirse al mismo como “titular” del secreto comercial</w:t>
            </w:r>
            <w:r w:rsidRPr="006E5A21">
              <w:rPr>
                <w:rFonts w:eastAsia="Calibri" w:cs="Arial"/>
                <w:bCs/>
                <w:sz w:val="20"/>
                <w:szCs w:val="20"/>
                <w:lang w:val="es-ES_tradnl"/>
              </w:rPr>
              <w:t>.”</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1.1</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color w:val="000000"/>
                <w:sz w:val="20"/>
                <w:szCs w:val="20"/>
              </w:rPr>
            </w:pPr>
            <w:r w:rsidRPr="006E5A21">
              <w:rPr>
                <w:rFonts w:eastAsia="Times New Roman" w:cs="Times New Roman"/>
                <w:b/>
                <w:bCs/>
                <w:sz w:val="20"/>
                <w:szCs w:val="20"/>
              </w:rPr>
              <w:t>CSIC</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Teniendo en cuenta que en la exposición de motivos se hace mención a los </w:t>
            </w:r>
            <w:proofErr w:type="spellStart"/>
            <w:r w:rsidRPr="006E5A21">
              <w:rPr>
                <w:rFonts w:eastAsia="Calibri" w:cs="Arial"/>
                <w:bCs/>
                <w:sz w:val="20"/>
                <w:szCs w:val="20"/>
                <w:lang w:val="es-ES_tradnl"/>
              </w:rPr>
              <w:t>OPIs</w:t>
            </w:r>
            <w:proofErr w:type="spellEnd"/>
            <w:r w:rsidRPr="006E5A21">
              <w:rPr>
                <w:rFonts w:eastAsia="Calibri" w:cs="Arial"/>
                <w:bCs/>
                <w:sz w:val="20"/>
                <w:szCs w:val="20"/>
                <w:lang w:val="es-ES_tradnl"/>
              </w:rPr>
              <w:t xml:space="preserve"> europeos y por coherencia con el art. 21.3 LP, procede modificar el texto con el siguiente tenor:</w:t>
            </w:r>
          </w:p>
          <w:p w:rsidR="001D77C1" w:rsidRPr="006E5A21" w:rsidRDefault="001D77C1" w:rsidP="001D77C1">
            <w:pPr>
              <w:autoSpaceDE w:val="0"/>
              <w:autoSpaceDN w:val="0"/>
              <w:adjustRightInd w:val="0"/>
              <w:spacing w:before="100" w:after="100" w:line="240" w:lineRule="auto"/>
              <w:ind w:firstLine="708"/>
              <w:jc w:val="both"/>
              <w:rPr>
                <w:rFonts w:cs="Calibri"/>
                <w:color w:val="000000"/>
                <w:sz w:val="20"/>
                <w:szCs w:val="20"/>
              </w:rPr>
            </w:pPr>
            <w:r w:rsidRPr="006E5A21">
              <w:rPr>
                <w:rFonts w:cs="Calibri"/>
                <w:color w:val="000000"/>
                <w:sz w:val="20"/>
                <w:szCs w:val="20"/>
              </w:rPr>
              <w:t>“</w:t>
            </w:r>
            <w:r w:rsidRPr="006E5A21">
              <w:rPr>
                <w:rFonts w:cs="Calibri"/>
                <w:i/>
                <w:color w:val="000000"/>
                <w:sz w:val="20"/>
                <w:szCs w:val="20"/>
              </w:rPr>
              <w:t xml:space="preserve">A efectos de esta ley, se considera secreto empresarial cualquier información, relativa a cualquier ámbito de la empresa </w:t>
            </w:r>
            <w:r w:rsidRPr="006E5A21">
              <w:rPr>
                <w:rFonts w:cs="Calibri"/>
                <w:i/>
                <w:color w:val="FF0000"/>
                <w:sz w:val="20"/>
                <w:szCs w:val="20"/>
              </w:rPr>
              <w:t>o entidad pública</w:t>
            </w:r>
            <w:r w:rsidRPr="006E5A21">
              <w:rPr>
                <w:rFonts w:cs="Calibri"/>
                <w:i/>
                <w:color w:val="000000"/>
                <w:sz w:val="20"/>
                <w:szCs w:val="20"/>
              </w:rPr>
              <w:t xml:space="preserve">, incluido el </w:t>
            </w:r>
            <w:r w:rsidRPr="006E5A21">
              <w:rPr>
                <w:rFonts w:cs="Calibri"/>
                <w:i/>
                <w:color w:val="FF0000"/>
                <w:sz w:val="20"/>
                <w:szCs w:val="20"/>
              </w:rPr>
              <w:t xml:space="preserve">científico, </w:t>
            </w:r>
            <w:r w:rsidRPr="006E5A21">
              <w:rPr>
                <w:rFonts w:cs="Calibri"/>
                <w:i/>
                <w:color w:val="000000"/>
                <w:sz w:val="20"/>
                <w:szCs w:val="20"/>
              </w:rPr>
              <w:t>tecnológico, industrial, comercial, organizativo o financiero, que reúna las siguientes condiciones:</w:t>
            </w:r>
            <w:r w:rsidRPr="006E5A21">
              <w:rPr>
                <w:rFonts w:cs="Calibri"/>
                <w:color w:val="000000"/>
                <w:sz w:val="20"/>
                <w:szCs w:val="20"/>
              </w:rPr>
              <w:t xml:space="preserve"> (...)”</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
                <w:bCs/>
                <w:sz w:val="20"/>
                <w:szCs w:val="20"/>
                <w:lang w:val="es-ES_tradnl"/>
              </w:rPr>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 la precisión aunque no se siga su literalidad en la adaptación del texto.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incluir una nueva letra c) con el siguiente tenor:</w:t>
            </w:r>
          </w:p>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sz w:val="20"/>
                <w:szCs w:val="20"/>
              </w:rPr>
              <w:t>“</w:t>
            </w:r>
            <w:r w:rsidRPr="006E5A21">
              <w:rPr>
                <w:rFonts w:eastAsia="Calibri" w:cs="Times New Roman"/>
                <w:i/>
                <w:sz w:val="20"/>
                <w:szCs w:val="20"/>
              </w:rPr>
              <w:t>c) estar adecuadamente identificada</w:t>
            </w:r>
            <w:r w:rsidRPr="006E5A21">
              <w:rPr>
                <w:rFonts w:eastAsia="Calibri" w:cs="Times New Roman"/>
                <w:sz w:val="20"/>
                <w:szCs w:val="20"/>
              </w:rPr>
              <w:t>”</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Atendiendo a los principios de buena regulación, no puede seguirse la recomendación formulada pues el APL sigue la definición de secreto empresarial de la directiva al no existir ésta en nuestro ordenamiento y ser uno de los objetivos de la propia directiva el de establecer una única definición en toda la UE.</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w:t>
            </w:r>
            <w:r w:rsidRPr="006E5A21">
              <w:rPr>
                <w:rFonts w:eastAsia="Times New Roman" w:cs="Times New Roman"/>
                <w:b/>
                <w:bCs/>
                <w:sz w:val="20"/>
                <w:szCs w:val="20"/>
              </w:rPr>
              <w:lastRenderedPageBreak/>
              <w:t>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1.1</w:t>
            </w:r>
          </w:p>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Cs/>
                <w:sz w:val="20"/>
                <w:szCs w:val="20"/>
                <w:lang w:val="es-ES_tradnl"/>
              </w:rPr>
              <w:lastRenderedPageBreak/>
              <w:t>Por otra parte, se llama la atención sobre las invenciones realizadas por el personal investigador de las Universidades Públicas y de los Entes Públicos de investigación en relación con el secreto industrial en el artículo 21 de la Ley de Patentes.</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lastRenderedPageBreak/>
              <w:t>SE ACEPTA la precisión aunque no se siga su literalidad en la adaptación del texto.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Arts. 1.2 y 1.3</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color w:val="000000"/>
                <w:sz w:val="20"/>
                <w:szCs w:val="20"/>
              </w:rPr>
            </w:pPr>
            <w:r w:rsidRPr="006E5A21">
              <w:rPr>
                <w:rFonts w:eastAsia="Times New Roman" w:cs="Times New Roman"/>
                <w:b/>
                <w:bCs/>
                <w:sz w:val="20"/>
                <w:szCs w:val="20"/>
              </w:rPr>
              <w:t>CSIC</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Hay que incluir a las universidades y a los organismos de investigación como el CSIC siguiendo lo ya contemplado por el art. 23.1 LP por lo que se propone modificar el apartado 2 del art. 1 con el siguiente tenor:</w:t>
            </w:r>
          </w:p>
          <w:p w:rsidR="001D77C1" w:rsidRPr="006E5A21" w:rsidRDefault="001D77C1" w:rsidP="001D77C1">
            <w:pPr>
              <w:autoSpaceDE w:val="0"/>
              <w:autoSpaceDN w:val="0"/>
              <w:adjustRightInd w:val="0"/>
              <w:spacing w:before="100" w:after="100" w:line="240" w:lineRule="auto"/>
              <w:ind w:firstLine="708"/>
              <w:jc w:val="both"/>
              <w:rPr>
                <w:rFonts w:cs="Calibri"/>
                <w:color w:val="000000"/>
                <w:sz w:val="20"/>
                <w:szCs w:val="20"/>
              </w:rPr>
            </w:pPr>
            <w:r w:rsidRPr="006E5A21">
              <w:rPr>
                <w:rFonts w:cs="Calibri"/>
                <w:i/>
                <w:color w:val="000000"/>
                <w:sz w:val="20"/>
                <w:szCs w:val="20"/>
              </w:rPr>
              <w:t xml:space="preserve">“2. La protección se dispensa a los titulares de secretos empresariales, que son las personas </w:t>
            </w:r>
            <w:r w:rsidRPr="006E5A21">
              <w:rPr>
                <w:rFonts w:cs="Calibri"/>
                <w:i/>
                <w:color w:val="FF0000"/>
                <w:sz w:val="20"/>
                <w:szCs w:val="20"/>
              </w:rPr>
              <w:t xml:space="preserve">o entidades privadas o públicas </w:t>
            </w:r>
            <w:r w:rsidRPr="006E5A21">
              <w:rPr>
                <w:rFonts w:cs="Calibri"/>
                <w:i/>
                <w:color w:val="000000"/>
                <w:sz w:val="20"/>
                <w:szCs w:val="20"/>
              </w:rPr>
              <w:t>que legítimamente ejercen control sobre ellos, y se extiende frente a cualquier modalidad de obtención, utilización o revelación de la información constitutiva de aquellos que resulte ilícita o tenga un origen ilícito con arreglo a lo previsto en esta ley.</w:t>
            </w:r>
            <w:r w:rsidRPr="006E5A21">
              <w:rPr>
                <w:rFonts w:cs="Calibri"/>
                <w:color w:val="000000"/>
                <w:sz w:val="20"/>
                <w:szCs w:val="20"/>
              </w:rPr>
              <w:t>”</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  aunque parece más aconsejable seguir la definición que a este respecto se transpone siguiendo el tenor del art. 2.2 de la directiva el cual hace referencia a “</w:t>
            </w:r>
            <w:r w:rsidRPr="006E5A21">
              <w:rPr>
                <w:rFonts w:eastAsia="Calibri" w:cs="Arial"/>
                <w:bCs/>
                <w:i/>
                <w:sz w:val="20"/>
                <w:szCs w:val="20"/>
                <w:lang w:val="es-ES_tradnl"/>
              </w:rPr>
              <w:t>cualquier persona física o jurídica</w:t>
            </w:r>
            <w:r w:rsidRPr="006E5A21">
              <w:rPr>
                <w:rFonts w:eastAsia="Calibri" w:cs="Arial"/>
                <w:bCs/>
                <w:sz w:val="20"/>
                <w:szCs w:val="20"/>
                <w:lang w:val="es-ES_tradnl"/>
              </w:rPr>
              <w:t>”.</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Arts. 1.2 y 1.3</w:t>
            </w:r>
            <w:r w:rsidRPr="006E5A21">
              <w:rPr>
                <w:rFonts w:eastAsia="Calibri" w:cs="Times New Roman"/>
                <w:b/>
                <w:sz w:val="20"/>
                <w:szCs w:val="20"/>
              </w:rPr>
              <w:tab/>
            </w:r>
          </w:p>
          <w:p w:rsidR="001D77C1" w:rsidRPr="006E5A21" w:rsidRDefault="001D77C1" w:rsidP="001D77C1">
            <w:pPr>
              <w:spacing w:after="0" w:line="240" w:lineRule="auto"/>
              <w:contextualSpacing/>
              <w:jc w:val="both"/>
              <w:rPr>
                <w:rFonts w:eastAsia="Calibri" w:cs="Times New Roman"/>
                <w:sz w:val="20"/>
                <w:szCs w:val="20"/>
              </w:rPr>
            </w:pPr>
          </w:p>
          <w:p w:rsidR="001D77C1" w:rsidRPr="006E5A21" w:rsidRDefault="001D77C1" w:rsidP="001D77C1">
            <w:pPr>
              <w:spacing w:after="0" w:line="240" w:lineRule="auto"/>
              <w:contextualSpacing/>
              <w:jc w:val="both"/>
              <w:rPr>
                <w:rFonts w:eastAsia="Calibri" w:cs="Times New Roman"/>
                <w:sz w:val="20"/>
                <w:szCs w:val="20"/>
              </w:rPr>
            </w:pPr>
            <w:r w:rsidRPr="006E5A21">
              <w:rPr>
                <w:rFonts w:eastAsia="Calibri" w:cs="Times New Roman"/>
                <w:sz w:val="20"/>
                <w:szCs w:val="20"/>
              </w:rPr>
              <w:t>Se sugiere eliminar el último inciso del apartado 2, modificar el apartado 3 añadiendo que la protección no podrá justificar limitaciones “a información de escasa importancia” y sustituir la expresión “restricciones no previstas legalmente” por “restricciones no permitidas legalmente”.</w:t>
            </w:r>
          </w:p>
          <w:p w:rsidR="001D77C1" w:rsidRPr="006E5A21" w:rsidRDefault="001D77C1" w:rsidP="001D77C1">
            <w:pPr>
              <w:spacing w:after="0" w:line="240" w:lineRule="auto"/>
              <w:contextualSpacing/>
              <w:jc w:val="both"/>
              <w:rPr>
                <w:rFonts w:eastAsia="Calibri" w:cs="Times New Roman"/>
                <w:sz w:val="20"/>
                <w:szCs w:val="20"/>
              </w:rPr>
            </w:pPr>
          </w:p>
        </w:tc>
        <w:tc>
          <w:tcPr>
            <w:tcW w:w="1860" w:type="pct"/>
            <w:shd w:val="clear" w:color="auto" w:fill="auto"/>
            <w:vAlign w:val="center"/>
          </w:tcPr>
          <w:p w:rsidR="001D77C1" w:rsidRPr="006E5A21" w:rsidRDefault="001D77C1" w:rsidP="001D77C1">
            <w:pPr>
              <w:spacing w:after="0" w:line="240" w:lineRule="auto"/>
              <w:contextualSpacing/>
              <w:jc w:val="both"/>
              <w:rPr>
                <w:rFonts w:eastAsia="Calibri" w:cs="Times New Roman"/>
                <w:b/>
                <w:sz w:val="20"/>
                <w:szCs w:val="20"/>
              </w:rPr>
            </w:pPr>
            <w:r w:rsidRPr="006E5A21">
              <w:rPr>
                <w:rFonts w:eastAsia="Calibri" w:cs="Times New Roman"/>
                <w:b/>
                <w:sz w:val="20"/>
                <w:szCs w:val="20"/>
              </w:rPr>
              <w:t>Arts. 1.2 y 1.3</w:t>
            </w:r>
            <w:r w:rsidRPr="006E5A21">
              <w:rPr>
                <w:rFonts w:eastAsia="Calibri" w:cs="Times New Roman"/>
                <w:b/>
                <w:sz w:val="20"/>
                <w:szCs w:val="20"/>
              </w:rPr>
              <w:tab/>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Por motivos de técnica legislativa, se prefiere la redacción actual del APL.</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Se sugiere la modificación del apartado 2 con el siguiente </w:t>
            </w:r>
            <w:r w:rsidRPr="006E5A21">
              <w:rPr>
                <w:rFonts w:eastAsia="Calibri" w:cs="Arial"/>
                <w:bCs/>
                <w:sz w:val="20"/>
                <w:szCs w:val="20"/>
                <w:lang w:val="es-ES_tradnl"/>
              </w:rPr>
              <w:lastRenderedPageBreak/>
              <w:t>tenor:</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“2. La protección se dispensa a los titulares de secretos empresariales, que son las personas que legítimamente ejercen control sobre ellos, </w:t>
            </w:r>
            <w:r w:rsidRPr="006E5A21">
              <w:rPr>
                <w:rFonts w:eastAsia="Calibri" w:cs="Arial"/>
                <w:bCs/>
                <w:i/>
                <w:sz w:val="20"/>
                <w:szCs w:val="20"/>
                <w:lang w:val="es-ES_tradnl"/>
              </w:rPr>
              <w:t>bien como creadores originarios o adquirentes derivativos por cualquier acto inter vivos o mortis causa, así como a los licenciatarios</w:t>
            </w:r>
            <w:r w:rsidRPr="006E5A21">
              <w:rPr>
                <w:rFonts w:eastAsia="Calibri" w:cs="Arial"/>
                <w:bCs/>
                <w:sz w:val="20"/>
                <w:szCs w:val="20"/>
                <w:lang w:val="es-ES_tradnl"/>
              </w:rPr>
              <w:t xml:space="preserve"> y se extiende frente a cualquier modalidad de obtención, utilización o revelación de la información constitutiva de aquellos que resulte ilícita o tenga un origen ilícito con arreglo a lo previsto en esta ley.”</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Cs/>
                <w:sz w:val="20"/>
                <w:szCs w:val="20"/>
                <w:lang w:val="es-ES_tradnl"/>
              </w:rPr>
            </w:pPr>
          </w:p>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lastRenderedPageBreak/>
              <w:t>En cuanto al art. 1.2 no puede seguirse la sugerencia formulada por razones de mejor regulación y proporcionalidad</w:t>
            </w:r>
            <w:r w:rsidR="003C001D">
              <w:rPr>
                <w:rFonts w:eastAsia="Calibri" w:cs="Arial"/>
                <w:bCs/>
                <w:sz w:val="20"/>
                <w:szCs w:val="20"/>
                <w:lang w:val="es-ES_tradnl"/>
              </w:rPr>
              <w:t>,</w:t>
            </w:r>
            <w:r w:rsidRPr="006E5A21">
              <w:rPr>
                <w:rFonts w:eastAsia="Calibri" w:cs="Arial"/>
                <w:bCs/>
                <w:sz w:val="20"/>
                <w:szCs w:val="20"/>
                <w:lang w:val="es-ES_tradnl"/>
              </w:rPr>
              <w:t xml:space="preserve"> pues ello apartaría el precepto de la definición contenida en el art. 2.2 de la directiva que transpone, cuyo objetivo es precisamente, el de armonización en todo el arco comunitario.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color w:val="000000"/>
                <w:sz w:val="20"/>
                <w:szCs w:val="20"/>
              </w:rPr>
            </w:pPr>
            <w:r w:rsidRPr="006E5A21">
              <w:rPr>
                <w:rFonts w:eastAsia="Times New Roman" w:cs="Times New Roman"/>
                <w:b/>
                <w:bCs/>
                <w:sz w:val="20"/>
                <w:szCs w:val="20"/>
              </w:rPr>
              <w:t>CSIC</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
                <w:bCs/>
                <w:sz w:val="20"/>
                <w:szCs w:val="20"/>
                <w:lang w:val="es-ES_tradnl"/>
              </w:rPr>
              <w:t>Nuevo Art. 1.</w:t>
            </w:r>
            <w:r w:rsidRPr="006E5A21">
              <w:rPr>
                <w:rFonts w:eastAsia="Calibri" w:cs="Arial"/>
                <w:b/>
                <w:bCs/>
                <w:i/>
                <w:sz w:val="20"/>
                <w:szCs w:val="20"/>
                <w:lang w:val="es-ES_tradnl"/>
              </w:rPr>
              <w:t>3</w:t>
            </w:r>
          </w:p>
          <w:p w:rsidR="001D77C1" w:rsidRPr="006E5A21" w:rsidRDefault="001D77C1" w:rsidP="001D77C1">
            <w:pPr>
              <w:spacing w:beforeLines="60" w:before="144" w:afterLines="60" w:after="144" w:line="240" w:lineRule="auto"/>
              <w:jc w:val="both"/>
              <w:rPr>
                <w:rFonts w:eastAsia="Calibri" w:cs="Arial"/>
                <w:bCs/>
                <w:sz w:val="20"/>
                <w:szCs w:val="20"/>
              </w:rPr>
            </w:pPr>
            <w:r w:rsidRPr="006E5A21">
              <w:rPr>
                <w:rFonts w:eastAsia="Calibri" w:cs="Arial"/>
                <w:bCs/>
                <w:sz w:val="20"/>
                <w:szCs w:val="20"/>
              </w:rPr>
              <w:t>Como se describe en los puntos siguientes de este anteproyecto de ley –puntos 3.1.a); 5.1.d) y 11.2.a) -  la constatación de una violación del secreto o la ejecución de acciones civiles contra su acceso ilícito precisa la identificación y actuación precisa sobre la información considerada secreto y por tanto debe existir la “</w:t>
            </w:r>
            <w:proofErr w:type="spellStart"/>
            <w:r w:rsidRPr="006E5A21">
              <w:rPr>
                <w:rFonts w:eastAsia="Calibri" w:cs="Arial"/>
                <w:bCs/>
                <w:sz w:val="20"/>
                <w:szCs w:val="20"/>
              </w:rPr>
              <w:t>tangibilidad</w:t>
            </w:r>
            <w:proofErr w:type="spellEnd"/>
            <w:r w:rsidRPr="006E5A21">
              <w:rPr>
                <w:rFonts w:eastAsia="Calibri" w:cs="Arial"/>
                <w:bCs/>
                <w:sz w:val="20"/>
                <w:szCs w:val="20"/>
              </w:rPr>
              <w:t>” de la misma que permita distinguirla y compararla del resto de la información pública del estado de la técnica con la que se compare.</w:t>
            </w:r>
          </w:p>
          <w:p w:rsidR="001D77C1" w:rsidRPr="006E5A21" w:rsidRDefault="001D77C1" w:rsidP="001D77C1">
            <w:pPr>
              <w:spacing w:beforeLines="60" w:before="144" w:afterLines="60" w:after="144" w:line="240" w:lineRule="auto"/>
              <w:jc w:val="both"/>
              <w:rPr>
                <w:rFonts w:eastAsia="Calibri" w:cs="Arial"/>
                <w:bCs/>
                <w:sz w:val="20"/>
                <w:szCs w:val="20"/>
              </w:rPr>
            </w:pPr>
            <w:r w:rsidRPr="006E5A21">
              <w:rPr>
                <w:rFonts w:eastAsia="Calibri" w:cs="Arial"/>
                <w:bCs/>
                <w:sz w:val="20"/>
                <w:szCs w:val="20"/>
              </w:rPr>
              <w:t>Esta condición necesaria del secreto no está expresamente indicada ni se deduce de la definición de secreto del artículo 1, por lo que se propone su inclusión en este APL.</w:t>
            </w:r>
          </w:p>
          <w:p w:rsidR="001D77C1" w:rsidRPr="006E5A21" w:rsidRDefault="001D77C1" w:rsidP="001D77C1">
            <w:pPr>
              <w:spacing w:beforeLines="60" w:before="144" w:afterLines="60" w:after="144" w:line="240" w:lineRule="auto"/>
              <w:jc w:val="both"/>
              <w:rPr>
                <w:rFonts w:eastAsia="Calibri" w:cs="Arial"/>
                <w:bCs/>
                <w:sz w:val="20"/>
                <w:szCs w:val="20"/>
              </w:rPr>
            </w:pPr>
            <w:r w:rsidRPr="006E5A21">
              <w:rPr>
                <w:rFonts w:eastAsia="Calibri" w:cs="Arial"/>
                <w:bCs/>
                <w:sz w:val="20"/>
                <w:szCs w:val="20"/>
              </w:rPr>
              <w:t>Es por ello por lo que se propone introducir un nuevo apartado 3 en el art. 1 (reenumerando el 4) con el siguiente tenor:</w:t>
            </w:r>
          </w:p>
          <w:p w:rsidR="001D77C1" w:rsidRPr="006E5A21" w:rsidRDefault="001D77C1" w:rsidP="001D77C1">
            <w:pPr>
              <w:autoSpaceDE w:val="0"/>
              <w:autoSpaceDN w:val="0"/>
              <w:adjustRightInd w:val="0"/>
              <w:spacing w:before="100" w:after="100" w:line="240" w:lineRule="auto"/>
              <w:ind w:firstLine="567"/>
              <w:jc w:val="both"/>
              <w:rPr>
                <w:rFonts w:cs="Calibri"/>
                <w:color w:val="000000"/>
                <w:sz w:val="20"/>
                <w:szCs w:val="20"/>
              </w:rPr>
            </w:pPr>
            <w:r w:rsidRPr="006E5A21">
              <w:rPr>
                <w:rFonts w:cs="Calibri"/>
                <w:color w:val="000000"/>
                <w:sz w:val="20"/>
                <w:szCs w:val="20"/>
              </w:rPr>
              <w:t>“</w:t>
            </w:r>
            <w:r w:rsidRPr="006E5A21">
              <w:rPr>
                <w:rFonts w:cs="Calibri"/>
                <w:i/>
                <w:sz w:val="20"/>
                <w:szCs w:val="20"/>
              </w:rPr>
              <w:t xml:space="preserve">3. La información considerada secreto industrial deberá estar contenida o descrita en forma de documentos, objetos, equipos, materiales, sustancias, ficheros electrónicos </w:t>
            </w:r>
            <w:r w:rsidRPr="006E5A21">
              <w:rPr>
                <w:rFonts w:cs="Calibri"/>
                <w:i/>
                <w:sz w:val="20"/>
                <w:szCs w:val="20"/>
              </w:rPr>
              <w:lastRenderedPageBreak/>
              <w:t>o cualesquiera otros soportes, a partir de los cuales se pueda deducir o identificar como referencia del estado de la técnica ante terceros</w:t>
            </w:r>
            <w:r w:rsidRPr="006E5A21">
              <w:rPr>
                <w:rFonts w:cs="Calibri"/>
                <w:sz w:val="20"/>
                <w:szCs w:val="20"/>
              </w:rPr>
              <w:t>.”</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
                <w:bCs/>
                <w:sz w:val="20"/>
                <w:szCs w:val="20"/>
                <w:lang w:val="es-ES_tradnl"/>
              </w:rPr>
              <w:lastRenderedPageBreak/>
              <w:t>Nuevo Art. 1.</w:t>
            </w:r>
            <w:r w:rsidRPr="006E5A21">
              <w:rPr>
                <w:rFonts w:eastAsia="Calibri" w:cs="Arial"/>
                <w:b/>
                <w:bCs/>
                <w:i/>
                <w:sz w:val="20"/>
                <w:szCs w:val="20"/>
                <w:lang w:val="es-ES_tradnl"/>
              </w:rPr>
              <w:t>3</w:t>
            </w:r>
          </w:p>
          <w:p w:rsidR="001D77C1" w:rsidRPr="006E5A21" w:rsidRDefault="001D77C1" w:rsidP="003C001D">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tiene en cuenta la observación que una de las particularidades de los secretos empresariales  es que pueden referirse a conocimientos “inmateriales” y a ello se refieren los considerandos 7 y 30 de la directiva cuando hablan de la naturaleza inmaterial de los secretos empresariales. Por ello precisamente el art. 3.1.a) del APL ofrece una amplia protección a los secretos empresariales respecto del “</w:t>
            </w:r>
            <w:r w:rsidRPr="006E5A21">
              <w:rPr>
                <w:rFonts w:eastAsia="Calibri" w:cs="Arial"/>
                <w:bCs/>
                <w:i/>
                <w:sz w:val="20"/>
                <w:szCs w:val="20"/>
                <w:lang w:val="es-ES_tradnl"/>
              </w:rPr>
              <w:t>acceso, apropiación o copia no autorizadas de documentos, objetos, materiales, sustancias, ficheros electrónicos u otros soportes, que contengan el secreto empresarial o a partir de los cuales se pueda deducir</w:t>
            </w:r>
            <w:r w:rsidRPr="006E5A21">
              <w:rPr>
                <w:rFonts w:eastAsia="Calibri" w:cs="Arial"/>
                <w:bCs/>
                <w:sz w:val="20"/>
                <w:szCs w:val="20"/>
                <w:lang w:val="es-ES_tradnl"/>
              </w:rPr>
              <w:t>” y de ahí que no proceda introducir el apartado sugerido.</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1.</w:t>
            </w:r>
            <w:r w:rsidRPr="006E5A21">
              <w:rPr>
                <w:rFonts w:eastAsia="Times New Roman" w:cs="Times New Roman"/>
                <w:b/>
                <w:bCs/>
                <w:i/>
                <w:sz w:val="20"/>
                <w:szCs w:val="20"/>
              </w:rPr>
              <w:t>4</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w:t>
            </w:r>
            <w:r w:rsidRPr="006E5A21">
              <w:rPr>
                <w:rFonts w:eastAsia="Calibri" w:cs="Arial"/>
                <w:b/>
                <w:bCs/>
                <w:i/>
                <w:sz w:val="20"/>
                <w:szCs w:val="20"/>
                <w:lang w:val="es-ES_tradnl"/>
              </w:rPr>
              <w:t>.4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incluir un nuevo apartado 4 sobre el “</w:t>
            </w:r>
            <w:r w:rsidRPr="006E5A21">
              <w:rPr>
                <w:rFonts w:eastAsia="Calibri" w:cs="Arial"/>
                <w:bCs/>
                <w:i/>
                <w:sz w:val="20"/>
                <w:szCs w:val="20"/>
                <w:lang w:val="es-ES_tradnl"/>
              </w:rPr>
              <w:t>régimen de los secretos empresariales laborales</w:t>
            </w:r>
            <w:r w:rsidRPr="006E5A21">
              <w:rPr>
                <w:rFonts w:eastAsia="Calibri" w:cs="Arial"/>
                <w:bCs/>
                <w:sz w:val="20"/>
                <w:szCs w:val="20"/>
                <w:lang w:val="es-ES_tradnl"/>
              </w:rPr>
              <w:t>” con la siguiente redacción:</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w:t>
            </w:r>
            <w:r w:rsidRPr="006E5A21">
              <w:rPr>
                <w:rFonts w:eastAsia="Calibri" w:cs="Arial"/>
                <w:bCs/>
                <w:i/>
                <w:sz w:val="20"/>
                <w:szCs w:val="20"/>
                <w:lang w:val="es-ES_tradnl"/>
              </w:rPr>
              <w:t>Toda información secreta que sea desarrollada por el empleado o prestador de servicio durante la vigencia de su contrato o relación de empleo o de servicios con el empresario, que sean fruto de una actividad explícita o implícitamente constitutiva del objeto de su contrato, o se hayan realizado siguiendo instrucciones expresas del empleador, y habiendo utilizado medios proporcionados por la entidad pertenecen al empresario.</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Cuando los secretos ofrezcan al empleador una situación ventajosa darán derecho a otorgar al empleado una remuneración suplementaria, siempre que la importancia de la aportación o del secreto para el empresario, exceda de manera evidente del contenido implícito o explícito de su contrato.</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El empleado tiene la obligación de comunicar por escrito, en el plazo de un mes al empresario cuanta información haya desarrollado y sean necesarios para que la empresa pueda ejercitar la facultad de protegerla, ya sea mediante su clasificación como secreto o mediante su registro en las distintas modalidades de Propiedad industrial e intelectual.</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i/>
                <w:sz w:val="20"/>
                <w:szCs w:val="20"/>
                <w:lang w:val="es-ES_tradnl"/>
              </w:rPr>
              <w:lastRenderedPageBreak/>
              <w:t>La obligación de guardar la confidencialidad se mantendrá vigente aun cuando se resuelva la relación laboral o prestación de servicio, durante todo el período en que la información se mantenga secreta</w:t>
            </w:r>
            <w:r w:rsidRPr="006E5A21">
              <w:rPr>
                <w:rFonts w:eastAsia="Calibri" w:cs="Arial"/>
                <w:bCs/>
                <w:sz w:val="20"/>
                <w:szCs w:val="20"/>
                <w:lang w:val="es-ES_tradnl"/>
              </w:rPr>
              <w:t>.”</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1</w:t>
            </w:r>
            <w:r w:rsidRPr="006E5A21">
              <w:rPr>
                <w:rFonts w:eastAsia="Calibri" w:cs="Arial"/>
                <w:b/>
                <w:bCs/>
                <w:i/>
                <w:sz w:val="20"/>
                <w:szCs w:val="20"/>
                <w:lang w:val="es-ES_tradnl"/>
              </w:rPr>
              <w:t>.4</w:t>
            </w:r>
          </w:p>
          <w:p w:rsidR="001D77C1" w:rsidRPr="006E5A21" w:rsidRDefault="003C001D" w:rsidP="001D77C1">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SE ACEPTA</w:t>
            </w:r>
            <w:r w:rsidR="001E3C4B">
              <w:rPr>
                <w:rFonts w:eastAsia="Calibri" w:cs="Arial"/>
                <w:bCs/>
                <w:sz w:val="20"/>
                <w:szCs w:val="20"/>
                <w:lang w:val="es-ES_tradnl"/>
              </w:rPr>
              <w:t xml:space="preserve"> el comentario,</w:t>
            </w:r>
            <w:r>
              <w:rPr>
                <w:rFonts w:eastAsia="Calibri" w:cs="Arial"/>
                <w:bCs/>
                <w:sz w:val="20"/>
                <w:szCs w:val="20"/>
                <w:lang w:val="es-ES_tradnl"/>
              </w:rPr>
              <w:t xml:space="preserve"> aunque, en lugar de incorporar esta regulación, se considera preferible dejar claro que la nueva legislación rige sin perjuicio del régimen de </w:t>
            </w:r>
            <w:r w:rsidR="00C06D6B" w:rsidRPr="00C06D6B">
              <w:rPr>
                <w:rFonts w:eastAsia="Calibri" w:cs="Arial"/>
                <w:bCs/>
                <w:sz w:val="20"/>
                <w:szCs w:val="20"/>
                <w:lang w:val="es-ES_tradnl"/>
              </w:rPr>
              <w:t>Invenciones realizadas en el marco de una relación de empleo o de servicios</w:t>
            </w:r>
            <w:r w:rsidR="00C06D6B">
              <w:rPr>
                <w:rFonts w:eastAsia="Calibri" w:cs="Arial"/>
                <w:bCs/>
                <w:sz w:val="20"/>
                <w:szCs w:val="20"/>
                <w:lang w:val="es-ES_tradnl"/>
              </w:rPr>
              <w:t>, previsto en el Título IV de la legislación de patentes (nuevo párrafo final del art. 1.3).</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2.1</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after="0" w:line="240" w:lineRule="auto"/>
              <w:contextualSpacing/>
              <w:rPr>
                <w:rFonts w:eastAsia="Times New Roman" w:cs="Times New Roman"/>
                <w:b/>
                <w:sz w:val="20"/>
                <w:szCs w:val="20"/>
                <w:lang w:eastAsia="es-ES"/>
              </w:rPr>
            </w:pPr>
            <w:r w:rsidRPr="006E5A21">
              <w:rPr>
                <w:b/>
                <w:sz w:val="20"/>
                <w:szCs w:val="20"/>
              </w:rPr>
              <w:t>Art. 2.1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Entendiendo necesario ampliar el concepto de licitud a cualquier información conocida por cualquier persona, se propone añadir una nueva letra e) con el siguiente tenor:</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 “e) que se haya divulgado por cualquier medio o que haya sido patentado.”</w:t>
            </w:r>
          </w:p>
        </w:tc>
        <w:tc>
          <w:tcPr>
            <w:tcW w:w="1860" w:type="pct"/>
            <w:shd w:val="clear" w:color="auto" w:fill="auto"/>
            <w:vAlign w:val="center"/>
          </w:tcPr>
          <w:p w:rsidR="001D77C1" w:rsidRPr="006E5A21" w:rsidRDefault="001D77C1" w:rsidP="001D77C1">
            <w:pPr>
              <w:spacing w:after="0" w:line="240" w:lineRule="auto"/>
              <w:contextualSpacing/>
              <w:rPr>
                <w:rFonts w:eastAsia="Times New Roman" w:cs="Times New Roman"/>
                <w:b/>
                <w:sz w:val="20"/>
                <w:szCs w:val="20"/>
                <w:lang w:eastAsia="es-ES"/>
              </w:rPr>
            </w:pPr>
            <w:r w:rsidRPr="006E5A21">
              <w:rPr>
                <w:b/>
                <w:sz w:val="20"/>
                <w:szCs w:val="20"/>
              </w:rPr>
              <w:t>Art. 2.1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El APL sigue literalmente los dictados de la directiva por lo que por razones de </w:t>
            </w:r>
            <w:proofErr w:type="spellStart"/>
            <w:r w:rsidRPr="006E5A21">
              <w:rPr>
                <w:rFonts w:eastAsia="Calibri" w:cs="Arial"/>
                <w:bCs/>
                <w:sz w:val="20"/>
                <w:szCs w:val="20"/>
                <w:lang w:val="es-ES_tradnl"/>
              </w:rPr>
              <w:t>better</w:t>
            </w:r>
            <w:proofErr w:type="spellEnd"/>
            <w:r w:rsidRPr="006E5A21">
              <w:rPr>
                <w:rFonts w:eastAsia="Calibri" w:cs="Arial"/>
                <w:bCs/>
                <w:sz w:val="20"/>
                <w:szCs w:val="20"/>
                <w:lang w:val="es-ES_tradnl"/>
              </w:rPr>
              <w:t xml:space="preserve"> </w:t>
            </w:r>
            <w:proofErr w:type="spellStart"/>
            <w:r w:rsidRPr="006E5A21">
              <w:rPr>
                <w:rFonts w:eastAsia="Calibri" w:cs="Arial"/>
                <w:bCs/>
                <w:sz w:val="20"/>
                <w:szCs w:val="20"/>
                <w:lang w:val="es-ES_tradnl"/>
              </w:rPr>
              <w:t>regulation</w:t>
            </w:r>
            <w:proofErr w:type="spellEnd"/>
            <w:r w:rsidRPr="006E5A21">
              <w:rPr>
                <w:rFonts w:eastAsia="Calibri" w:cs="Arial"/>
                <w:bCs/>
                <w:sz w:val="20"/>
                <w:szCs w:val="20"/>
                <w:lang w:val="es-ES_tradnl"/>
              </w:rPr>
              <w:t xml:space="preserve"> no procede ampliar la propuesta.</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2.2</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2.2</w:t>
            </w:r>
          </w:p>
          <w:p w:rsidR="001D77C1" w:rsidRPr="006E5A21" w:rsidRDefault="001D77C1" w:rsidP="001D77C1">
            <w:pPr>
              <w:contextualSpacing/>
              <w:jc w:val="both"/>
              <w:rPr>
                <w:rFonts w:eastAsia="Calibri" w:cs="Times New Roman"/>
                <w:sz w:val="20"/>
                <w:szCs w:val="20"/>
              </w:rPr>
            </w:pPr>
            <w:r w:rsidRPr="006E5A21">
              <w:rPr>
                <w:rFonts w:eastAsia="Calibri" w:cs="Times New Roman"/>
                <w:sz w:val="20"/>
                <w:szCs w:val="20"/>
              </w:rPr>
              <w:t>Se debe tener en consideración el considerando 18 de acuerdo con el cual</w:t>
            </w:r>
            <w:r w:rsidRPr="006E5A21">
              <w:rPr>
                <w:rFonts w:eastAsia="Calibri" w:cs="Times New Roman"/>
                <w:color w:val="000000"/>
                <w:sz w:val="20"/>
                <w:szCs w:val="20"/>
              </w:rPr>
              <w:t xml:space="preserve"> si bien es lícito obtener secretos empresariales cuando así lo exija la Ley, dichos secretos continúan sujetos a la obligación de confidencialidad, mencionando como ejemplo, como se indica en el texto, la información suministrada en el marco de contrataciones públicas. Por ello, s</w:t>
            </w:r>
            <w:r w:rsidRPr="006E5A21">
              <w:rPr>
                <w:rFonts w:eastAsia="Calibri" w:cs="Times New Roman"/>
                <w:sz w:val="20"/>
                <w:szCs w:val="20"/>
              </w:rPr>
              <w:t>e propone ampliar el art. 2.2 in fine con el siguiente texto:</w:t>
            </w:r>
          </w:p>
          <w:p w:rsidR="001D77C1" w:rsidRPr="006E5A21" w:rsidRDefault="001D77C1" w:rsidP="001D77C1">
            <w:pPr>
              <w:autoSpaceDE w:val="0"/>
              <w:autoSpaceDN w:val="0"/>
              <w:adjustRightInd w:val="0"/>
              <w:spacing w:before="100" w:after="0" w:line="240" w:lineRule="auto"/>
              <w:contextualSpacing/>
              <w:jc w:val="both"/>
              <w:rPr>
                <w:rFonts w:cs="Calibri"/>
                <w:color w:val="000000"/>
                <w:sz w:val="20"/>
                <w:szCs w:val="20"/>
              </w:rPr>
            </w:pPr>
            <w:r w:rsidRPr="006E5A21">
              <w:rPr>
                <w:rFonts w:cs="Calibri"/>
                <w:color w:val="000000"/>
                <w:sz w:val="20"/>
                <w:szCs w:val="20"/>
              </w:rPr>
              <w:t>“2. La obtención, utilización o revelación de un secreto empresarial se consideran lícitas en los casos en los que la ley lo exija o permita</w:t>
            </w:r>
            <w:r w:rsidRPr="006E5A21">
              <w:rPr>
                <w:rFonts w:cs="Calibri"/>
                <w:color w:val="000000"/>
                <w:sz w:val="20"/>
                <w:szCs w:val="20"/>
                <w:u w:val="single"/>
              </w:rPr>
              <w:t>,</w:t>
            </w:r>
            <w:r w:rsidRPr="006E5A21">
              <w:rPr>
                <w:rFonts w:cs="Calibri"/>
                <w:color w:val="000000"/>
                <w:sz w:val="20"/>
                <w:szCs w:val="20"/>
              </w:rPr>
              <w:t xml:space="preserve"> </w:t>
            </w:r>
            <w:r w:rsidRPr="006E5A21">
              <w:rPr>
                <w:rFonts w:cs="Calibri"/>
                <w:b/>
                <w:bCs/>
                <w:iCs/>
                <w:sz w:val="20"/>
                <w:szCs w:val="20"/>
              </w:rPr>
              <w:t>sin perjuicio de cualquier obligación de confidencialidad relativa al secreto comercial o de cualquier restricción relativa a su utilización que la ley imponga al destinatario o a la persona que obtiene la información.”</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2.2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 la precisión aunque no se siga su literalidad en la adaptación del texto.</w:t>
            </w:r>
            <w:r w:rsidR="001E3C4B">
              <w:rPr>
                <w:rFonts w:eastAsia="Calibri" w:cs="Arial"/>
                <w:bCs/>
                <w:sz w:val="20"/>
                <w:szCs w:val="20"/>
                <w:lang w:val="es-ES_tradnl"/>
              </w:rPr>
              <w:t xml:space="preserve"> Así, en el art. 2.2 </w:t>
            </w:r>
            <w:proofErr w:type="spellStart"/>
            <w:r w:rsidR="001E3C4B">
              <w:rPr>
                <w:rFonts w:eastAsia="Calibri" w:cs="Arial"/>
                <w:bCs/>
                <w:sz w:val="20"/>
                <w:szCs w:val="20"/>
                <w:lang w:val="es-ES_tradnl"/>
              </w:rPr>
              <w:t>anteproyectado</w:t>
            </w:r>
            <w:proofErr w:type="spellEnd"/>
            <w:r w:rsidR="001E3C4B">
              <w:rPr>
                <w:rFonts w:eastAsia="Calibri" w:cs="Arial"/>
                <w:bCs/>
                <w:sz w:val="20"/>
                <w:szCs w:val="20"/>
                <w:lang w:val="es-ES_tradnl"/>
              </w:rPr>
              <w:t xml:space="preserve"> se precisa que l</w:t>
            </w:r>
            <w:r w:rsidR="001E3C4B" w:rsidRPr="001E3C4B">
              <w:rPr>
                <w:rFonts w:eastAsia="Calibri" w:cs="Arial"/>
                <w:bCs/>
                <w:sz w:val="20"/>
                <w:szCs w:val="20"/>
                <w:lang w:val="es-ES_tradnl"/>
              </w:rPr>
              <w:t xml:space="preserve">a obtención, utilización o revelación de un secreto empresarial se consideran lícitas en los casos </w:t>
            </w:r>
            <w:r w:rsidR="001E3C4B" w:rsidRPr="001E3C4B">
              <w:rPr>
                <w:rFonts w:eastAsia="Calibri" w:cs="Arial"/>
                <w:b/>
                <w:bCs/>
                <w:sz w:val="20"/>
                <w:szCs w:val="20"/>
                <w:lang w:val="es-ES_tradnl"/>
              </w:rPr>
              <w:t xml:space="preserve">y términos </w:t>
            </w:r>
            <w:r w:rsidR="001E3C4B" w:rsidRPr="001E3C4B">
              <w:rPr>
                <w:rFonts w:eastAsia="Calibri" w:cs="Arial"/>
                <w:bCs/>
                <w:sz w:val="20"/>
                <w:szCs w:val="20"/>
                <w:lang w:val="es-ES_tradnl"/>
              </w:rPr>
              <w:t>en los que la ley lo exija o permita</w:t>
            </w:r>
            <w:r w:rsidR="001E3C4B">
              <w:rPr>
                <w:rFonts w:eastAsia="Calibri" w:cs="Arial"/>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2.3.a) y 2.3.d)</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2.3.a) y 2.3.d)</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La CEOE sugiere modificar las letras a) y d) del art. 2.3 con los tenores siguientes:</w:t>
            </w:r>
          </w:p>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Cs/>
                <w:sz w:val="20"/>
                <w:szCs w:val="20"/>
                <w:lang w:val="es-ES_tradnl"/>
              </w:rPr>
              <w:t>a) en ejercicio del derecho a la libertad de expresión e información constitucionalmente reconocido, incluido el respeto a la libertad y al pluralismo de los medios de comunicación</w:t>
            </w:r>
            <w:r w:rsidRPr="006E5A21">
              <w:rPr>
                <w:rFonts w:eastAsia="Calibri" w:cs="Arial"/>
                <w:b/>
                <w:bCs/>
                <w:sz w:val="20"/>
                <w:szCs w:val="20"/>
                <w:lang w:val="es-ES_tradnl"/>
              </w:rPr>
              <w:t>, siempre que el ejercicio de dicho derecho tenga como única finalidad el descubrimiento de un secreto empresarial.</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Ello se justifica para evitar fraudes de ley en el sentido de que el único objetivo fuera el del descubrimiento de un secreto.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d) con el fin de proteger un interés legítimo reconocido por la ley. En particular, no podrá invocarse la protección dispensada por esta ley para obstaculizar la aplicación de la normativa que exija a los </w:t>
            </w:r>
            <w:r w:rsidRPr="006E5A21">
              <w:rPr>
                <w:rFonts w:eastAsia="Calibri" w:cs="Arial"/>
                <w:bCs/>
                <w:strike/>
                <w:sz w:val="20"/>
                <w:szCs w:val="20"/>
                <w:lang w:val="es-ES_tradnl"/>
              </w:rPr>
              <w:t>titulares</w:t>
            </w:r>
            <w:r w:rsidRPr="006E5A21">
              <w:rPr>
                <w:rFonts w:eastAsia="Calibri" w:cs="Arial"/>
                <w:bCs/>
                <w:sz w:val="20"/>
                <w:szCs w:val="20"/>
                <w:lang w:val="es-ES_tradnl"/>
              </w:rPr>
              <w:t xml:space="preserve"> </w:t>
            </w:r>
            <w:r w:rsidRPr="006E5A21">
              <w:rPr>
                <w:rFonts w:eastAsia="Calibri" w:cs="Arial"/>
                <w:b/>
                <w:bCs/>
                <w:sz w:val="20"/>
                <w:szCs w:val="20"/>
                <w:lang w:val="es-ES_tradnl"/>
              </w:rPr>
              <w:t>poseedores</w:t>
            </w:r>
            <w:r w:rsidRPr="006E5A21">
              <w:rPr>
                <w:rFonts w:eastAsia="Calibri" w:cs="Arial"/>
                <w:bCs/>
                <w:sz w:val="20"/>
                <w:szCs w:val="20"/>
                <w:lang w:val="es-ES_tradnl"/>
              </w:rPr>
              <w:t xml:space="preserve"> de secretos empresariales divulgar información o comunicarla a las autoridades administrativas o judiciales en el ejercicio de las funciones de éstas</w:t>
            </w:r>
            <w:r w:rsidRPr="006E5A21">
              <w:rPr>
                <w:rFonts w:eastAsia="Calibri" w:cs="Arial"/>
                <w:bCs/>
                <w:strike/>
                <w:sz w:val="20"/>
                <w:szCs w:val="20"/>
                <w:lang w:val="es-ES_tradnl"/>
              </w:rPr>
              <w:t>, ni para impedir la aplicación de la normativa que prevea la revelación por las autoridades públicas europeas o españolas, en virtud de las obligaciones o prerrogativas que les hayan sido conferidas por el Derecho europeo o español, de la información presentada por las empresas que obre en poder de dichas autoridades</w:t>
            </w:r>
            <w:r w:rsidRPr="006E5A21">
              <w:rPr>
                <w:rFonts w:eastAsia="Calibri" w:cs="Arial"/>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Esta eliminación se justifica teniendo en cuenta que no está así recogido en la directiva (art. 5) por un lado, y por otro, la Ley de Transparencia establece los secretos empresariales como un límite al derecho de acceso a la información (art. 14 LT). Es por ello, que incluir en este artículo la excepción que </w:t>
            </w:r>
            <w:r w:rsidRPr="006E5A21">
              <w:rPr>
                <w:rFonts w:eastAsia="Calibri" w:cs="Arial"/>
                <w:bCs/>
                <w:sz w:val="20"/>
                <w:szCs w:val="20"/>
                <w:lang w:val="es-ES_tradnl"/>
              </w:rPr>
              <w:lastRenderedPageBreak/>
              <w:t>nos ocupa a las medidas y acciones de protección de los secretos empresariales puede llevar interpretaciones erróneas sobre la aplicación de los límites de la Ley de Transparencia. Podría interpretarse que los secretos empresariales que obren en poder de las autoridades públicas pueden llegar a ser revelados por la solicitud de acceso a información de un tercero (que podría ser un competidor) lo que además de ser contrario a la Ley de Transparencia lo es al propio espíritu de la Ley de Secretos Empresariales, que no es otro que la protección de los secretos empresariales a fin de garantizar la competitividad de las empresas.</w:t>
            </w:r>
          </w:p>
          <w:p w:rsidR="001D77C1" w:rsidRPr="006E5A21" w:rsidRDefault="001D77C1" w:rsidP="001D77C1">
            <w:pPr>
              <w:spacing w:beforeLines="60" w:before="144" w:afterLines="60" w:after="144" w:line="240" w:lineRule="auto"/>
              <w:jc w:val="both"/>
              <w:rPr>
                <w:rFonts w:eastAsia="Calibri" w:cs="Arial"/>
                <w:bCs/>
                <w:sz w:val="20"/>
                <w:szCs w:val="20"/>
              </w:rPr>
            </w:pPr>
            <w:r w:rsidRPr="006E5A21">
              <w:rPr>
                <w:rFonts w:eastAsia="Calibri" w:cs="Arial"/>
                <w:bCs/>
                <w:sz w:val="20"/>
                <w:szCs w:val="20"/>
                <w:lang w:val="es-ES_tradnl"/>
              </w:rPr>
              <w:t>Además, sería contradictorio que el APL establezca medidas para proteger los secretos empresariales en el seno de los procedimientos judiciales y sin embargo permita la eventual revelación por parte de la administración de la información que obre en su poder.</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2.3.a) y 2.3.d)</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La letra a) sigue literalmente los dictados del art. 1.2.a) de la directiva por lo que</w:t>
            </w:r>
            <w:r w:rsidR="00766C18">
              <w:rPr>
                <w:rFonts w:eastAsia="Calibri" w:cs="Arial"/>
                <w:bCs/>
                <w:sz w:val="20"/>
                <w:szCs w:val="20"/>
                <w:lang w:val="es-ES_tradnl"/>
              </w:rPr>
              <w:t>,</w:t>
            </w:r>
            <w:r w:rsidRPr="006E5A21">
              <w:rPr>
                <w:rFonts w:eastAsia="Calibri" w:cs="Arial"/>
                <w:bCs/>
                <w:sz w:val="20"/>
                <w:szCs w:val="20"/>
                <w:lang w:val="es-ES_tradnl"/>
              </w:rPr>
              <w:t xml:space="preserve"> por razones de </w:t>
            </w:r>
            <w:proofErr w:type="spellStart"/>
            <w:r w:rsidRPr="006E5A21">
              <w:rPr>
                <w:rFonts w:eastAsia="Calibri" w:cs="Arial"/>
                <w:bCs/>
                <w:sz w:val="20"/>
                <w:szCs w:val="20"/>
                <w:lang w:val="es-ES_tradnl"/>
              </w:rPr>
              <w:t>better</w:t>
            </w:r>
            <w:proofErr w:type="spellEnd"/>
            <w:r w:rsidRPr="006E5A21">
              <w:rPr>
                <w:rFonts w:eastAsia="Calibri" w:cs="Arial"/>
                <w:bCs/>
                <w:sz w:val="20"/>
                <w:szCs w:val="20"/>
                <w:lang w:val="es-ES_tradnl"/>
              </w:rPr>
              <w:t xml:space="preserve"> </w:t>
            </w:r>
            <w:proofErr w:type="spellStart"/>
            <w:r w:rsidRPr="006E5A21">
              <w:rPr>
                <w:rFonts w:eastAsia="Calibri" w:cs="Arial"/>
                <w:bCs/>
                <w:sz w:val="20"/>
                <w:szCs w:val="20"/>
                <w:lang w:val="es-ES_tradnl"/>
              </w:rPr>
              <w:t>regulation</w:t>
            </w:r>
            <w:proofErr w:type="spellEnd"/>
            <w:r w:rsidR="00766C18">
              <w:rPr>
                <w:rFonts w:eastAsia="Calibri" w:cs="Arial"/>
                <w:bCs/>
                <w:sz w:val="20"/>
                <w:szCs w:val="20"/>
                <w:lang w:val="es-ES_tradnl"/>
              </w:rPr>
              <w:t>,</w:t>
            </w:r>
            <w:r w:rsidRPr="006E5A21">
              <w:rPr>
                <w:rFonts w:eastAsia="Calibri" w:cs="Arial"/>
                <w:bCs/>
                <w:sz w:val="20"/>
                <w:szCs w:val="20"/>
                <w:lang w:val="es-ES_tradnl"/>
              </w:rPr>
              <w:t xml:space="preserve"> no procede modificar el texto en el sentido sugerido. Así, la posible utilización del mismo en fraude de ley habrá de ser determinada </w:t>
            </w:r>
            <w:r w:rsidRPr="00F82D40">
              <w:rPr>
                <w:rFonts w:eastAsia="Calibri" w:cs="Arial"/>
                <w:bCs/>
                <w:i/>
                <w:sz w:val="20"/>
                <w:szCs w:val="20"/>
                <w:lang w:val="es-ES_tradnl"/>
              </w:rPr>
              <w:t>a posteriori</w:t>
            </w:r>
            <w:r w:rsidR="00766C18">
              <w:rPr>
                <w:rFonts w:eastAsia="Calibri" w:cs="Arial"/>
                <w:bCs/>
                <w:i/>
                <w:sz w:val="20"/>
                <w:szCs w:val="20"/>
                <w:lang w:val="es-ES_tradnl"/>
              </w:rPr>
              <w:t>,</w:t>
            </w:r>
            <w:r w:rsidRPr="006E5A21">
              <w:rPr>
                <w:rFonts w:eastAsia="Calibri" w:cs="Arial"/>
                <w:bCs/>
                <w:sz w:val="20"/>
                <w:szCs w:val="20"/>
                <w:lang w:val="es-ES_tradnl"/>
              </w:rPr>
              <w:t xml:space="preserve"> una vez aplicado.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En cuanto a la letra d), no tiene en cuenta la observación que viene a transponer el art. 1.2.c) de la directiva, por lo que ha de mantenerse en sus términos.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3.1</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añadir una nueva letra que señale que “el acceso al secreto empresarial o a información a partir de la cual se pueda deducir aun cuando no estén contenidos en soporte físico.” al objeto de proteger también la información que no se encuentre en soporte físico.</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La información no contenida en soporte físico está protegida por lo dispuesto en la letra a) del propio art. 3.1 cuando hace alusión a “</w:t>
            </w:r>
            <w:r w:rsidRPr="00F82D40">
              <w:rPr>
                <w:rFonts w:eastAsia="Calibri" w:cs="Arial"/>
                <w:bCs/>
                <w:i/>
                <w:sz w:val="20"/>
                <w:szCs w:val="20"/>
                <w:lang w:val="es-ES_tradnl"/>
              </w:rPr>
              <w:t>otros soportes</w:t>
            </w:r>
            <w:r w:rsidRPr="006E5A21">
              <w:rPr>
                <w:rFonts w:eastAsia="Calibri" w:cs="Arial"/>
                <w:bCs/>
                <w:sz w:val="20"/>
                <w:szCs w:val="20"/>
                <w:lang w:val="es-ES_tradnl"/>
              </w:rPr>
              <w:t>”.</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3.2</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modificar el apartado 2 señalando que “</w:t>
            </w:r>
            <w:r w:rsidRPr="006E5A21">
              <w:rPr>
                <w:rFonts w:eastAsia="Calibri" w:cs="Arial"/>
                <w:bCs/>
                <w:sz w:val="20"/>
                <w:szCs w:val="20"/>
                <w:lang w:val="es-ES_tradnl" w:eastAsia="es-ES"/>
              </w:rPr>
              <w:t xml:space="preserve">La utilización o revelación de un secreto empresarial se consideran ilícitas cuando, sin el consentimiento de su </w:t>
            </w:r>
            <w:r w:rsidRPr="006E5A21">
              <w:rPr>
                <w:rFonts w:eastAsia="Calibri" w:cs="Arial"/>
                <w:bCs/>
                <w:strike/>
                <w:sz w:val="20"/>
                <w:szCs w:val="20"/>
                <w:lang w:val="es-ES_tradnl" w:eastAsia="es-ES"/>
              </w:rPr>
              <w:t>titular</w:t>
            </w:r>
            <w:r w:rsidRPr="006E5A21">
              <w:rPr>
                <w:rFonts w:eastAsia="Calibri" w:cs="Arial"/>
                <w:bCs/>
                <w:sz w:val="20"/>
                <w:szCs w:val="20"/>
                <w:lang w:val="es-ES_tradnl" w:eastAsia="es-ES"/>
              </w:rPr>
              <w:t xml:space="preserve"> </w:t>
            </w:r>
            <w:r w:rsidRPr="006E5A21">
              <w:rPr>
                <w:rFonts w:eastAsia="Calibri" w:cs="Arial"/>
                <w:b/>
                <w:bCs/>
                <w:sz w:val="20"/>
                <w:szCs w:val="20"/>
                <w:u w:val="single"/>
                <w:lang w:val="es-ES_tradnl" w:eastAsia="es-ES"/>
              </w:rPr>
              <w:t>poseedor,</w:t>
            </w:r>
            <w:r w:rsidRPr="006E5A21">
              <w:rPr>
                <w:rFonts w:eastAsia="Calibri" w:cs="Arial"/>
                <w:bCs/>
                <w:sz w:val="20"/>
                <w:szCs w:val="20"/>
                <w:lang w:val="es-ES_tradnl" w:eastAsia="es-ES"/>
              </w:rPr>
              <w:t xml:space="preserve"> las realice quien haya obtenido el secreto </w:t>
            </w:r>
            <w:r w:rsidRPr="006E5A21">
              <w:rPr>
                <w:rFonts w:eastAsia="Calibri" w:cs="Arial"/>
                <w:bCs/>
                <w:sz w:val="20"/>
                <w:szCs w:val="20"/>
                <w:lang w:val="es-ES_tradnl" w:eastAsia="es-ES"/>
              </w:rPr>
              <w:lastRenderedPageBreak/>
              <w:t xml:space="preserve">empresarial de forma ilícita, haya incumplido un acuerdo de confidencialidad o cualquier otra obligación de no revelar el secreto empresarial, o haya incumplido una obligación contractual o de cualquier otra índole </w:t>
            </w:r>
            <w:r w:rsidRPr="006E5A21">
              <w:rPr>
                <w:rFonts w:eastAsia="Calibri" w:cs="Arial"/>
                <w:b/>
                <w:bCs/>
                <w:sz w:val="20"/>
                <w:szCs w:val="20"/>
                <w:u w:val="single"/>
                <w:lang w:val="es-ES_tradnl"/>
              </w:rPr>
              <w:t>o cualquier compromiso</w:t>
            </w:r>
            <w:r w:rsidRPr="006E5A21">
              <w:rPr>
                <w:rFonts w:eastAsia="Calibri" w:cs="Arial"/>
                <w:bCs/>
                <w:sz w:val="20"/>
                <w:szCs w:val="20"/>
                <w:lang w:val="es-ES_tradnl"/>
              </w:rPr>
              <w:t xml:space="preserve"> </w:t>
            </w:r>
            <w:r w:rsidRPr="006E5A21">
              <w:rPr>
                <w:rFonts w:eastAsia="Calibri" w:cs="Arial"/>
                <w:bCs/>
                <w:sz w:val="20"/>
                <w:szCs w:val="20"/>
                <w:lang w:val="es-ES_tradnl" w:eastAsia="es-ES"/>
              </w:rPr>
              <w:t xml:space="preserve">que limite la utilización del secreto empresarial </w:t>
            </w:r>
            <w:r w:rsidRPr="006E5A21">
              <w:rPr>
                <w:rFonts w:eastAsia="Calibri" w:cs="Arial"/>
                <w:b/>
                <w:bCs/>
                <w:sz w:val="20"/>
                <w:szCs w:val="20"/>
                <w:u w:val="single"/>
                <w:lang w:val="es-ES_tradnl"/>
              </w:rPr>
              <w:t>o haya aducido razones diferentes a las realmente perseguidas para obtener ese consentimiento</w:t>
            </w:r>
            <w:r w:rsidRPr="006E5A21">
              <w:rPr>
                <w:rFonts w:eastAsia="Calibri" w:cs="Arial"/>
                <w:bCs/>
                <w:sz w:val="20"/>
                <w:szCs w:val="20"/>
                <w:lang w:val="es-ES_tradnl"/>
              </w:rPr>
              <w:t>.”, por entender que así la redacción es más clara.</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3.2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se comparte el criterio de que la redacción propuesta resulte más clara.</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sugiere incluir que la utilización de un secreto se considere ilícita cuando haya incumplido también una obligación legal, además de contractual o de cualquier otra índole.</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puede seguirse la sugerencia por razones de mejor regulación y proporcionalidad pues ello apartaría el precepto del art. 4.3 de la directiva que transpone.</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3.4</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color w:val="000000"/>
                <w:sz w:val="20"/>
                <w:szCs w:val="20"/>
              </w:rPr>
            </w:pPr>
            <w:r w:rsidRPr="006E5A21">
              <w:rPr>
                <w:rFonts w:eastAsia="Times New Roman" w:cs="Times New Roman"/>
                <w:b/>
                <w:bCs/>
                <w:sz w:val="20"/>
                <w:szCs w:val="20"/>
              </w:rPr>
              <w:t>CSIC</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3.4</w:t>
            </w:r>
          </w:p>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Cs/>
                <w:sz w:val="20"/>
                <w:szCs w:val="20"/>
                <w:lang w:val="es-ES_tradnl"/>
              </w:rPr>
              <w:t>Se sugiere incluir en la definición de “mercancías infractoras” una diferenciación entre proceso de desarrollo y proceso de producción, pues se consideran etapas de un proceso general de innovación, al igual que las de producción o comercialización.</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Este precepto es transposición literal del art. 2.4 de la directiva por lo que por razones de </w:t>
            </w:r>
            <w:proofErr w:type="spellStart"/>
            <w:r w:rsidRPr="006E5A21">
              <w:rPr>
                <w:rFonts w:eastAsia="Calibri" w:cs="Arial"/>
                <w:bCs/>
                <w:sz w:val="20"/>
                <w:szCs w:val="20"/>
                <w:lang w:val="es-ES_tradnl"/>
              </w:rPr>
              <w:t>better</w:t>
            </w:r>
            <w:proofErr w:type="spellEnd"/>
            <w:r w:rsidRPr="006E5A21">
              <w:rPr>
                <w:rFonts w:eastAsia="Calibri" w:cs="Arial"/>
                <w:bCs/>
                <w:sz w:val="20"/>
                <w:szCs w:val="20"/>
                <w:lang w:val="es-ES_tradnl"/>
              </w:rPr>
              <w:t xml:space="preserve"> </w:t>
            </w:r>
            <w:proofErr w:type="spellStart"/>
            <w:r w:rsidRPr="006E5A21">
              <w:rPr>
                <w:rFonts w:eastAsia="Calibri" w:cs="Arial"/>
                <w:bCs/>
                <w:sz w:val="20"/>
                <w:szCs w:val="20"/>
                <w:lang w:val="es-ES_tradnl"/>
              </w:rPr>
              <w:t>regulation</w:t>
            </w:r>
            <w:proofErr w:type="spellEnd"/>
            <w:r w:rsidRPr="006E5A21">
              <w:rPr>
                <w:rFonts w:eastAsia="Calibri" w:cs="Arial"/>
                <w:bCs/>
                <w:sz w:val="20"/>
                <w:szCs w:val="20"/>
                <w:lang w:val="es-ES_tradnl"/>
              </w:rPr>
              <w:t xml:space="preserve"> no procede ampliar la propuesta.</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modificar el segundo párrafo señalando que “</w:t>
            </w:r>
            <w:r w:rsidRPr="006E5A21">
              <w:rPr>
                <w:rFonts w:eastAsia="Calibri" w:cs="Arial"/>
                <w:bCs/>
                <w:sz w:val="20"/>
                <w:szCs w:val="20"/>
                <w:lang w:val="es-ES_tradnl" w:eastAsia="es-ES"/>
              </w:rPr>
              <w:t xml:space="preserve">A </w:t>
            </w:r>
            <w:r w:rsidRPr="006E5A21">
              <w:rPr>
                <w:rFonts w:eastAsia="Calibri" w:cs="Arial"/>
                <w:bCs/>
                <w:strike/>
                <w:sz w:val="20"/>
                <w:szCs w:val="20"/>
                <w:lang w:val="es-ES_tradnl" w:eastAsia="es-ES"/>
              </w:rPr>
              <w:t>estos</w:t>
            </w:r>
            <w:r w:rsidRPr="006E5A21">
              <w:rPr>
                <w:rFonts w:eastAsia="Calibri" w:cs="Arial"/>
                <w:bCs/>
                <w:sz w:val="20"/>
                <w:szCs w:val="20"/>
                <w:lang w:val="es-ES_tradnl" w:eastAsia="es-ES"/>
              </w:rPr>
              <w:t xml:space="preserve"> efectos </w:t>
            </w:r>
            <w:r w:rsidRPr="006E5A21">
              <w:rPr>
                <w:rFonts w:eastAsia="Calibri" w:cs="Arial"/>
                <w:b/>
                <w:bCs/>
                <w:sz w:val="20"/>
                <w:szCs w:val="20"/>
                <w:u w:val="single"/>
                <w:lang w:val="es-ES_tradnl" w:eastAsia="es-ES"/>
              </w:rPr>
              <w:t>de la presente ley</w:t>
            </w:r>
            <w:r w:rsidRPr="006E5A21">
              <w:rPr>
                <w:rFonts w:eastAsia="Calibri" w:cs="Arial"/>
                <w:bCs/>
                <w:sz w:val="20"/>
                <w:szCs w:val="20"/>
                <w:lang w:val="es-ES_tradnl" w:eastAsia="es-ES"/>
              </w:rPr>
              <w:t xml:space="preserve"> se consideran mercancías infractoras (...)” por entender que el concepto de mercancías infractoras aparece también en los arts. 5 y 16 del APL.</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3.4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4</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sugiere añadir al último párrafo del art. 4 lo siguiente:</w:t>
            </w:r>
          </w:p>
          <w:p w:rsidR="001D77C1" w:rsidRPr="006E5A21" w:rsidRDefault="001D77C1" w:rsidP="001D77C1">
            <w:pPr>
              <w:spacing w:beforeLines="60" w:before="144" w:afterLines="60" w:after="144" w:line="240" w:lineRule="auto"/>
              <w:jc w:val="both"/>
              <w:rPr>
                <w:rFonts w:eastAsia="Calibri" w:cs="Arial"/>
                <w:b/>
                <w:bCs/>
                <w:sz w:val="20"/>
                <w:szCs w:val="20"/>
                <w:u w:val="single"/>
                <w:lang w:val="es-ES_tradnl"/>
              </w:rPr>
            </w:pPr>
            <w:r w:rsidRPr="006E5A21">
              <w:rPr>
                <w:rFonts w:eastAsia="Calibri" w:cs="Arial"/>
                <w:bCs/>
                <w:sz w:val="20"/>
                <w:szCs w:val="20"/>
                <w:lang w:val="es-ES_tradnl"/>
              </w:rPr>
              <w:t>“Asimismo, con las particularidades previstas en el artículo 5.7, dichas acciones podrán dirigirse frente a los terceros adquirentes de buena fe, entendiéndose por tales quienes en el momento de la utilización o de la revelación no sabían o, en las circunstancias del caso, no hubieran debido saber que habían obtenido el secreto empresarial directa o indirectamente de un infractor</w:t>
            </w:r>
            <w:r w:rsidRPr="006E5A21">
              <w:rPr>
                <w:rFonts w:eastAsia="Calibri" w:cs="Arial"/>
                <w:b/>
                <w:bCs/>
                <w:sz w:val="20"/>
                <w:szCs w:val="20"/>
                <w:u w:val="single"/>
                <w:lang w:val="es-ES_tradnl"/>
              </w:rPr>
              <w:t>, tras constatar, en particular a raíz de una notificación del poseedor original del secreto empresarial, que el conocimiento que tiene del aquél proviene de fuentes que lo han obtenido, utilizan o revelan de forma ilícita.”</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rPr>
              <w:t xml:space="preserve">Ello se justifica en el considerando 29 de la directiva por cuanto prevé </w:t>
            </w:r>
            <w:r w:rsidRPr="006E5A21">
              <w:rPr>
                <w:rFonts w:eastAsia="Calibri" w:cs="Arial"/>
                <w:bCs/>
                <w:sz w:val="20"/>
                <w:szCs w:val="20"/>
                <w:lang w:val="es-ES_tradnl"/>
              </w:rPr>
              <w:t xml:space="preserve">que “Puede darse el caso de que una persona haya obtenido inicialmente un secreto comercial de buena fe, para constatar más tarde, en particular a raíz de una notificación del poseedor original del secreto comercial, que el conocimiento que tiene del secreto comercial en cuestión proviene de fuentes que lo utilizan o revelan de forma ilícita. A fin de evitar que, en tales circunstancias, las medidas correctivas o los requerimientos previstos causen un perjuicio desproporcionado a dicha persona, los Estados miembros deben prever la posibilidad, en determinados casos, de que se conceda una indemnización pecuniaria a la parte perjudicada como medida alternativa. Sin embargo, dicha indemnización no debe superar el importe de los cánones o derechos que se habrían tenido que pagar si esa persona hubiera obtenido autorización para utilizar el secreto comercial en cuestión </w:t>
            </w:r>
            <w:r w:rsidRPr="006E5A21">
              <w:rPr>
                <w:rFonts w:eastAsia="Calibri" w:cs="Arial"/>
                <w:bCs/>
                <w:sz w:val="20"/>
                <w:szCs w:val="20"/>
                <w:lang w:val="es-ES_tradnl"/>
              </w:rPr>
              <w:lastRenderedPageBreak/>
              <w:t>durante el período de tiempo en el que el poseedor original hubiera podido impedir su utilización.”</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se considera necesario añadir ulteriores aclaraciones como la propuesta toda vez que el considerando 29 se refiere a la posible indemnización que pueda generarse y a ello se consagra el art. 5.7 APL cuando transpone el art. 13.3 de la directiva.</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sugiere incluir una referencia a las acciones “penales” además de las civiles.</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4</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No se comparte la sugerencia formulada pues, como se señala en la MAIN que acompaña al APL: </w:t>
            </w:r>
          </w:p>
          <w:p w:rsidR="001D77C1" w:rsidRPr="006E5A21" w:rsidRDefault="001D77C1" w:rsidP="001D77C1">
            <w:pPr>
              <w:spacing w:beforeLines="60" w:before="144" w:afterLines="60" w:after="144" w:line="240" w:lineRule="auto"/>
              <w:jc w:val="both"/>
              <w:rPr>
                <w:rFonts w:eastAsia="Calibri" w:cs="Arial"/>
                <w:bCs/>
                <w:sz w:val="20"/>
                <w:szCs w:val="20"/>
              </w:rPr>
            </w:pPr>
            <w:r w:rsidRPr="006E5A21">
              <w:rPr>
                <w:rFonts w:eastAsia="Calibri" w:cs="Arial"/>
                <w:bCs/>
                <w:sz w:val="20"/>
                <w:szCs w:val="20"/>
                <w:lang w:val="es-ES_tradnl"/>
              </w:rPr>
              <w:t>“</w:t>
            </w:r>
            <w:r w:rsidRPr="006E5A21">
              <w:rPr>
                <w:rFonts w:eastAsia="Calibri" w:cs="Arial"/>
                <w:bCs/>
                <w:i/>
                <w:sz w:val="20"/>
                <w:szCs w:val="20"/>
                <w:lang w:val="es-ES_tradnl"/>
              </w:rPr>
              <w:t>Nuestro Código Penal, por su parte, en sus artículos 278 a 280, también otorga protección a los secretos empresariales, imponiendo penas de prisión que pueden alcanzar hasta los cinco años, si bien nuestros Tribunales son bastante reacios a considerar la existencia de tales delitos siendo más proclives a entender que se trata de ilícitos civiles pero no penales.</w:t>
            </w:r>
            <w:r w:rsidRPr="006E5A21">
              <w:rPr>
                <w:rFonts w:eastAsia="Calibri" w:cs="Arial"/>
                <w:bCs/>
                <w:sz w:val="20"/>
                <w:szCs w:val="20"/>
                <w:lang w:val="es-ES_tradnl"/>
              </w:rPr>
              <w:t xml:space="preserve">” </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5.1 y 5.2</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jc w:val="both"/>
              <w:rPr>
                <w:rFonts w:eastAsia="Times New Roman" w:cs="Times New Roman"/>
                <w:b/>
                <w:bCs/>
                <w:sz w:val="20"/>
                <w:szCs w:val="20"/>
              </w:rPr>
            </w:pPr>
            <w:r w:rsidRPr="006E5A21">
              <w:rPr>
                <w:rFonts w:eastAsia="Times New Roman" w:cs="Times New Roman"/>
                <w:b/>
                <w:bCs/>
                <w:sz w:val="20"/>
                <w:szCs w:val="20"/>
              </w:rPr>
              <w:t>Art. 5.1 y 5.2</w:t>
            </w:r>
          </w:p>
          <w:p w:rsidR="001D77C1" w:rsidRPr="006E5A21" w:rsidRDefault="001D77C1" w:rsidP="001D77C1">
            <w:pPr>
              <w:jc w:val="both"/>
              <w:rPr>
                <w:rFonts w:eastAsia="Times New Roman" w:cs="Times New Roman"/>
                <w:bCs/>
                <w:sz w:val="20"/>
                <w:szCs w:val="20"/>
              </w:rPr>
            </w:pPr>
            <w:r w:rsidRPr="006E5A21">
              <w:rPr>
                <w:rFonts w:eastAsia="Times New Roman" w:cs="Times New Roman"/>
                <w:bCs/>
                <w:sz w:val="20"/>
                <w:szCs w:val="20"/>
              </w:rPr>
              <w:t>1. Contra los actos de violación de secretos empresariales podrán, en especial, solicitarse:</w:t>
            </w:r>
          </w:p>
          <w:p w:rsidR="001D77C1" w:rsidRPr="006E5A21" w:rsidRDefault="001D77C1" w:rsidP="001D77C1">
            <w:pPr>
              <w:jc w:val="both"/>
              <w:rPr>
                <w:rFonts w:eastAsia="Times New Roman" w:cs="Times New Roman"/>
                <w:bCs/>
                <w:sz w:val="20"/>
                <w:szCs w:val="20"/>
              </w:rPr>
            </w:pPr>
            <w:r w:rsidRPr="006E5A21">
              <w:rPr>
                <w:rFonts w:eastAsia="Times New Roman" w:cs="Times New Roman"/>
                <w:bCs/>
                <w:sz w:val="20"/>
                <w:szCs w:val="20"/>
              </w:rPr>
              <w:t xml:space="preserve">(...) </w:t>
            </w:r>
          </w:p>
          <w:p w:rsidR="001D77C1" w:rsidRPr="006E5A21" w:rsidRDefault="001D77C1" w:rsidP="001D77C1">
            <w:pPr>
              <w:jc w:val="both"/>
              <w:rPr>
                <w:rFonts w:eastAsia="Times New Roman" w:cs="Times New Roman"/>
                <w:b/>
                <w:bCs/>
                <w:sz w:val="20"/>
                <w:szCs w:val="20"/>
                <w:u w:val="single"/>
              </w:rPr>
            </w:pPr>
            <w:r w:rsidRPr="006E5A21">
              <w:rPr>
                <w:rFonts w:eastAsia="Times New Roman" w:cs="Times New Roman"/>
                <w:bCs/>
                <w:sz w:val="20"/>
                <w:szCs w:val="20"/>
              </w:rPr>
              <w:t xml:space="preserve">e) La atribución en propiedad de las mercancías infractoras al demandante, en cuyo caso el valor de las mercancías entregadas se imputará al importe de la indemnización de daños y perjuicios debida, sin perjuicio de la subsistencia de la responsabilidad del infractor en lo que se refiere a la cuantía indemnizatoria que exceda del referido valor. </w:t>
            </w:r>
            <w:r w:rsidRPr="006E5A21">
              <w:rPr>
                <w:rFonts w:eastAsia="Times New Roman" w:cs="Times New Roman"/>
                <w:b/>
                <w:bCs/>
                <w:strike/>
                <w:sz w:val="20"/>
                <w:szCs w:val="20"/>
                <w:u w:val="single"/>
              </w:rPr>
              <w:t>En cambio, si</w:t>
            </w:r>
            <w:r w:rsidRPr="006E5A21">
              <w:rPr>
                <w:rFonts w:eastAsia="Times New Roman" w:cs="Times New Roman"/>
                <w:b/>
                <w:bCs/>
                <w:sz w:val="20"/>
                <w:szCs w:val="20"/>
                <w:u w:val="single"/>
              </w:rPr>
              <w:t xml:space="preserve"> </w:t>
            </w:r>
            <w:proofErr w:type="spellStart"/>
            <w:r w:rsidRPr="006E5A21">
              <w:rPr>
                <w:rFonts w:eastAsia="Times New Roman" w:cs="Times New Roman"/>
                <w:b/>
                <w:bCs/>
                <w:sz w:val="20"/>
                <w:szCs w:val="20"/>
                <w:u w:val="single"/>
              </w:rPr>
              <w:t>Si</w:t>
            </w:r>
            <w:proofErr w:type="spellEnd"/>
            <w:r w:rsidRPr="006E5A21">
              <w:rPr>
                <w:rFonts w:eastAsia="Times New Roman" w:cs="Times New Roman"/>
                <w:bCs/>
                <w:sz w:val="20"/>
                <w:szCs w:val="20"/>
              </w:rPr>
              <w:t xml:space="preserve"> el valor de las mercancías excede del importe de la indemnización, el demandante </w:t>
            </w:r>
            <w:r w:rsidRPr="006E5A21">
              <w:rPr>
                <w:rFonts w:eastAsia="Times New Roman" w:cs="Times New Roman"/>
                <w:b/>
                <w:bCs/>
                <w:sz w:val="20"/>
                <w:szCs w:val="20"/>
                <w:u w:val="single"/>
              </w:rPr>
              <w:t>sólo</w:t>
            </w:r>
            <w:r w:rsidRPr="006E5A21">
              <w:rPr>
                <w:rFonts w:eastAsia="Times New Roman" w:cs="Times New Roman"/>
                <w:bCs/>
                <w:color w:val="FF0000"/>
                <w:sz w:val="20"/>
                <w:szCs w:val="20"/>
              </w:rPr>
              <w:t xml:space="preserve"> </w:t>
            </w:r>
            <w:r w:rsidRPr="006E5A21">
              <w:rPr>
                <w:rFonts w:eastAsia="Times New Roman" w:cs="Times New Roman"/>
                <w:bCs/>
                <w:sz w:val="20"/>
                <w:szCs w:val="20"/>
              </w:rPr>
              <w:t>deberá compensar</w:t>
            </w:r>
            <w:r w:rsidRPr="006E5A21">
              <w:rPr>
                <w:rFonts w:eastAsia="Times New Roman" w:cs="Times New Roman"/>
                <w:b/>
                <w:bCs/>
                <w:strike/>
                <w:sz w:val="20"/>
                <w:szCs w:val="20"/>
                <w:u w:val="single"/>
              </w:rPr>
              <w:t>lo</w:t>
            </w:r>
            <w:r w:rsidRPr="006E5A21">
              <w:rPr>
                <w:rFonts w:eastAsia="Times New Roman" w:cs="Times New Roman"/>
                <w:b/>
                <w:bCs/>
                <w:sz w:val="20"/>
                <w:szCs w:val="20"/>
                <w:u w:val="single"/>
              </w:rPr>
              <w:t xml:space="preserve"> el </w:t>
            </w:r>
            <w:r w:rsidRPr="006E5A21">
              <w:rPr>
                <w:rFonts w:eastAsia="Times New Roman" w:cs="Times New Roman"/>
                <w:b/>
                <w:bCs/>
                <w:sz w:val="20"/>
                <w:szCs w:val="20"/>
                <w:u w:val="single"/>
              </w:rPr>
              <w:lastRenderedPageBreak/>
              <w:t xml:space="preserve">exceso </w:t>
            </w:r>
            <w:r w:rsidRPr="006E5A21">
              <w:rPr>
                <w:rFonts w:eastAsia="Times New Roman" w:cs="Times New Roman"/>
                <w:bCs/>
                <w:sz w:val="20"/>
                <w:szCs w:val="20"/>
              </w:rPr>
              <w:t xml:space="preserve">a la otra parte </w:t>
            </w:r>
            <w:r w:rsidRPr="006E5A21">
              <w:rPr>
                <w:rFonts w:eastAsia="Times New Roman" w:cs="Times New Roman"/>
                <w:b/>
                <w:bCs/>
                <w:sz w:val="20"/>
                <w:szCs w:val="20"/>
                <w:u w:val="single"/>
              </w:rPr>
              <w:t>cuando el infractor sea un adquirente de buena fe y el secreto incorporado no suponga un factor determinante para la demanda de las mercancías.</w:t>
            </w:r>
          </w:p>
          <w:p w:rsidR="001D77C1" w:rsidRPr="006E5A21" w:rsidRDefault="001D77C1" w:rsidP="001D77C1">
            <w:pPr>
              <w:contextualSpacing/>
              <w:jc w:val="both"/>
              <w:rPr>
                <w:rFonts w:eastAsia="Times New Roman" w:cs="Times New Roman"/>
                <w:bCs/>
                <w:sz w:val="20"/>
                <w:szCs w:val="20"/>
              </w:rPr>
            </w:pPr>
            <w:r w:rsidRPr="006E5A21">
              <w:rPr>
                <w:rFonts w:eastAsia="Times New Roman" w:cs="Times New Roman"/>
                <w:bCs/>
                <w:sz w:val="20"/>
                <w:szCs w:val="20"/>
              </w:rPr>
              <w:t>(...)</w:t>
            </w:r>
          </w:p>
          <w:p w:rsidR="001D77C1" w:rsidRPr="006E5A21" w:rsidRDefault="001D77C1" w:rsidP="001D77C1">
            <w:pPr>
              <w:contextualSpacing/>
              <w:jc w:val="both"/>
              <w:rPr>
                <w:rFonts w:eastAsia="Times New Roman" w:cs="Times New Roman"/>
                <w:bCs/>
                <w:sz w:val="20"/>
                <w:szCs w:val="20"/>
              </w:rPr>
            </w:pPr>
          </w:p>
          <w:p w:rsidR="001D77C1" w:rsidRPr="006E5A21" w:rsidRDefault="001D77C1" w:rsidP="001D77C1">
            <w:pPr>
              <w:contextualSpacing/>
              <w:jc w:val="both"/>
              <w:rPr>
                <w:rFonts w:eastAsia="Times New Roman" w:cs="Times New Roman"/>
                <w:b/>
                <w:bCs/>
                <w:sz w:val="20"/>
                <w:szCs w:val="20"/>
                <w:u w:val="single"/>
              </w:rPr>
            </w:pPr>
            <w:r w:rsidRPr="006E5A21">
              <w:rPr>
                <w:rFonts w:eastAsia="Times New Roman" w:cs="Times New Roman"/>
                <w:b/>
                <w:bCs/>
                <w:sz w:val="20"/>
                <w:szCs w:val="20"/>
                <w:u w:val="single"/>
              </w:rPr>
              <w:t>h) Rescisión de cualquier contrato relacionado con el secreto empresarial respecto del cual se ha producido la violación de acuerdo con esta ley.</w:t>
            </w:r>
          </w:p>
          <w:p w:rsidR="001D77C1" w:rsidRPr="006E5A21" w:rsidRDefault="001D77C1" w:rsidP="001D77C1">
            <w:pPr>
              <w:contextualSpacing/>
              <w:jc w:val="both"/>
              <w:rPr>
                <w:rFonts w:eastAsia="Times New Roman" w:cs="Times New Roman"/>
                <w:b/>
                <w:bCs/>
                <w:sz w:val="20"/>
                <w:szCs w:val="20"/>
                <w:u w:val="single"/>
              </w:rPr>
            </w:pPr>
          </w:p>
          <w:p w:rsidR="001D77C1" w:rsidRPr="006E5A21" w:rsidRDefault="001D77C1" w:rsidP="001D77C1">
            <w:pPr>
              <w:contextualSpacing/>
              <w:jc w:val="both"/>
              <w:rPr>
                <w:sz w:val="20"/>
                <w:szCs w:val="20"/>
              </w:rPr>
            </w:pPr>
            <w:r w:rsidRPr="006E5A21">
              <w:rPr>
                <w:sz w:val="20"/>
                <w:szCs w:val="20"/>
              </w:rPr>
              <w:t xml:space="preserve">Se modifica el apartado e) por cuanto, conforme al principio general del Derecho </w:t>
            </w:r>
            <w:proofErr w:type="spellStart"/>
            <w:r w:rsidRPr="006E5A21">
              <w:rPr>
                <w:i/>
                <w:sz w:val="20"/>
                <w:szCs w:val="20"/>
              </w:rPr>
              <w:t>nemo</w:t>
            </w:r>
            <w:proofErr w:type="spellEnd"/>
            <w:r w:rsidRPr="006E5A21">
              <w:rPr>
                <w:i/>
                <w:sz w:val="20"/>
                <w:szCs w:val="20"/>
              </w:rPr>
              <w:t xml:space="preserve"> </w:t>
            </w:r>
            <w:proofErr w:type="spellStart"/>
            <w:r w:rsidRPr="006E5A21">
              <w:rPr>
                <w:i/>
                <w:sz w:val="20"/>
                <w:szCs w:val="20"/>
              </w:rPr>
              <w:t>commodum</w:t>
            </w:r>
            <w:proofErr w:type="spellEnd"/>
            <w:r w:rsidRPr="006E5A21">
              <w:rPr>
                <w:i/>
                <w:sz w:val="20"/>
                <w:szCs w:val="20"/>
              </w:rPr>
              <w:t xml:space="preserve"> ex </w:t>
            </w:r>
            <w:proofErr w:type="spellStart"/>
            <w:r w:rsidRPr="006E5A21">
              <w:rPr>
                <w:i/>
                <w:sz w:val="20"/>
                <w:szCs w:val="20"/>
              </w:rPr>
              <w:t>propria</w:t>
            </w:r>
            <w:proofErr w:type="spellEnd"/>
            <w:r w:rsidRPr="006E5A21">
              <w:rPr>
                <w:i/>
                <w:sz w:val="20"/>
                <w:szCs w:val="20"/>
              </w:rPr>
              <w:t xml:space="preserve"> </w:t>
            </w:r>
            <w:proofErr w:type="spellStart"/>
            <w:r w:rsidRPr="006E5A21">
              <w:rPr>
                <w:i/>
                <w:sz w:val="20"/>
                <w:szCs w:val="20"/>
              </w:rPr>
              <w:t>inuria</w:t>
            </w:r>
            <w:proofErr w:type="spellEnd"/>
            <w:r w:rsidRPr="006E5A21">
              <w:rPr>
                <w:i/>
                <w:sz w:val="20"/>
                <w:szCs w:val="20"/>
              </w:rPr>
              <w:t xml:space="preserve"> </w:t>
            </w:r>
            <w:proofErr w:type="spellStart"/>
            <w:r w:rsidRPr="006E5A21">
              <w:rPr>
                <w:i/>
                <w:sz w:val="20"/>
                <w:szCs w:val="20"/>
              </w:rPr>
              <w:t>capere</w:t>
            </w:r>
            <w:proofErr w:type="spellEnd"/>
            <w:r w:rsidRPr="006E5A21">
              <w:rPr>
                <w:i/>
                <w:sz w:val="20"/>
                <w:szCs w:val="20"/>
              </w:rPr>
              <w:t xml:space="preserve"> </w:t>
            </w:r>
            <w:proofErr w:type="spellStart"/>
            <w:r w:rsidRPr="006E5A21">
              <w:rPr>
                <w:i/>
                <w:sz w:val="20"/>
                <w:szCs w:val="20"/>
              </w:rPr>
              <w:t>potest</w:t>
            </w:r>
            <w:proofErr w:type="spellEnd"/>
            <w:r w:rsidRPr="006E5A21">
              <w:rPr>
                <w:sz w:val="20"/>
                <w:szCs w:val="20"/>
              </w:rPr>
              <w:t xml:space="preserve">, no parece que tenga sentido que el perjudicado por la violación deba compensar al condenado por infracción de su secreto empresarial salvo que (a) el deudor sea de buena fe; y (b) el valor de la mercancía no afectado por la explotación del secreto sea muy superior a la parte del valor atribuible al secreto. Si no, se estaría colocando al demandante en una situación injusta. </w:t>
            </w:r>
          </w:p>
          <w:p w:rsidR="001D77C1" w:rsidRPr="006E5A21" w:rsidRDefault="001D77C1" w:rsidP="001D77C1">
            <w:pPr>
              <w:contextualSpacing/>
              <w:jc w:val="both"/>
              <w:rPr>
                <w:b/>
                <w:sz w:val="20"/>
                <w:szCs w:val="20"/>
              </w:rPr>
            </w:pPr>
          </w:p>
          <w:p w:rsidR="001D77C1" w:rsidRPr="006E5A21" w:rsidRDefault="001D77C1" w:rsidP="001D77C1">
            <w:pPr>
              <w:contextualSpacing/>
              <w:jc w:val="both"/>
              <w:rPr>
                <w:sz w:val="20"/>
                <w:szCs w:val="20"/>
              </w:rPr>
            </w:pPr>
            <w:r w:rsidRPr="006E5A21">
              <w:rPr>
                <w:sz w:val="20"/>
                <w:szCs w:val="20"/>
              </w:rPr>
              <w:t>Se incorpora, además, un nuevo apartado h) en el punto 1 del presente artículo con el objetivo de exponer expresamente una de las medidas que pueden resultar más adecuadas dado el valor económico que tienen los secretos empresariales.</w:t>
            </w:r>
          </w:p>
          <w:p w:rsidR="001D77C1" w:rsidRPr="006E5A21" w:rsidRDefault="001D77C1" w:rsidP="001D77C1">
            <w:pPr>
              <w:contextualSpacing/>
              <w:jc w:val="both"/>
              <w:rPr>
                <w:sz w:val="20"/>
                <w:szCs w:val="20"/>
              </w:rPr>
            </w:pPr>
          </w:p>
          <w:p w:rsidR="001D77C1" w:rsidRPr="006E5A21" w:rsidRDefault="001D77C1" w:rsidP="001D77C1">
            <w:pPr>
              <w:contextualSpacing/>
              <w:jc w:val="both"/>
              <w:rPr>
                <w:rFonts w:eastAsia="Calibri" w:cs="Times New Roman"/>
                <w:sz w:val="20"/>
                <w:szCs w:val="20"/>
              </w:rPr>
            </w:pPr>
            <w:r w:rsidRPr="006E5A21">
              <w:rPr>
                <w:sz w:val="20"/>
                <w:szCs w:val="20"/>
              </w:rPr>
              <w:t xml:space="preserve">En cuanto al apartado 2, es necesario, de conformidad con lo previsto en el artículo 12.4 de la Directiva 2016/943, incluir </w:t>
            </w:r>
            <w:r w:rsidRPr="006E5A21">
              <w:rPr>
                <w:sz w:val="20"/>
                <w:szCs w:val="20"/>
              </w:rPr>
              <w:lastRenderedPageBreak/>
              <w:t>también la referencia cruzada al literal “e)”.</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Cs/>
                <w:sz w:val="20"/>
                <w:szCs w:val="20"/>
                <w:lang w:val="es-ES_tradnl"/>
              </w:rPr>
            </w:pPr>
          </w:p>
          <w:p w:rsidR="001D77C1" w:rsidRPr="006E5A21" w:rsidRDefault="001D77C1" w:rsidP="001D77C1">
            <w:pPr>
              <w:jc w:val="both"/>
              <w:rPr>
                <w:rFonts w:eastAsia="Times New Roman" w:cs="Times New Roman"/>
                <w:b/>
                <w:bCs/>
                <w:sz w:val="20"/>
                <w:szCs w:val="20"/>
              </w:rPr>
            </w:pPr>
            <w:r w:rsidRPr="006E5A21">
              <w:rPr>
                <w:rFonts w:eastAsia="Times New Roman" w:cs="Times New Roman"/>
                <w:b/>
                <w:bCs/>
                <w:sz w:val="20"/>
                <w:szCs w:val="20"/>
              </w:rPr>
              <w:t>Art. 5.1 y 5.2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Respecto de la letra e), cabe señalar que se ha considerado más idónea la solución ofrecida por la ley de patentes (art. 71.1.d) LP) y de ahí que se haya seguido su esquema en el presente APL.  No obstante, SE ACEPTA PARCIALMENTE la sugerencia de eliminar de la redacción el inciso “</w:t>
            </w:r>
            <w:r w:rsidRPr="00F82D40">
              <w:rPr>
                <w:rFonts w:eastAsia="Calibri" w:cs="Arial"/>
                <w:bCs/>
                <w:i/>
                <w:sz w:val="20"/>
                <w:szCs w:val="20"/>
                <w:lang w:val="es-ES_tradnl"/>
              </w:rPr>
              <w:t>En cambio</w:t>
            </w:r>
            <w:r w:rsidRPr="006E5A21">
              <w:rPr>
                <w:rFonts w:eastAsia="Calibri" w:cs="Arial"/>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En cuanto a la letra h), no cabe su adición pues respecto de los contratos regirán las reglas generales del derecho sin que, por razones de técnica legislativa, quepa introducir particularidades en esta ley especial.</w:t>
            </w:r>
          </w:p>
          <w:p w:rsidR="001D77C1" w:rsidRPr="006E5A21" w:rsidRDefault="001D77C1" w:rsidP="001E3C4B">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Por último, la observación al apartado 2.e), no tiene en cuenta que la transmisión de la propiedad no tiene por</w:t>
            </w:r>
            <w:r w:rsidR="001E3C4B">
              <w:rPr>
                <w:rFonts w:eastAsia="Calibri" w:cs="Arial"/>
                <w:bCs/>
                <w:sz w:val="20"/>
                <w:szCs w:val="20"/>
                <w:lang w:val="es-ES_tradnl"/>
              </w:rPr>
              <w:t xml:space="preserve"> </w:t>
            </w:r>
            <w:r w:rsidRPr="006E5A21">
              <w:rPr>
                <w:rFonts w:eastAsia="Calibri" w:cs="Arial"/>
                <w:bCs/>
                <w:sz w:val="20"/>
                <w:szCs w:val="20"/>
                <w:lang w:val="es-ES_tradnl"/>
              </w:rPr>
              <w:t xml:space="preserve">qué generar </w:t>
            </w:r>
            <w:r w:rsidRPr="006E5A21">
              <w:rPr>
                <w:rFonts w:eastAsia="Calibri" w:cs="Arial"/>
                <w:bCs/>
                <w:sz w:val="20"/>
                <w:szCs w:val="20"/>
                <w:lang w:val="es-ES_tradnl"/>
              </w:rPr>
              <w:lastRenderedPageBreak/>
              <w:t>ningún conste (</w:t>
            </w:r>
            <w:r w:rsidR="001E3C4B">
              <w:rPr>
                <w:rFonts w:eastAsia="Calibri" w:cs="Arial"/>
                <w:bCs/>
                <w:sz w:val="20"/>
                <w:szCs w:val="20"/>
                <w:lang w:val="es-ES_tradnl"/>
              </w:rPr>
              <w:t>a diferencia de lo que</w:t>
            </w:r>
            <w:r w:rsidR="001E3C4B" w:rsidRPr="006E5A21">
              <w:rPr>
                <w:rFonts w:eastAsia="Calibri" w:cs="Arial"/>
                <w:bCs/>
                <w:sz w:val="20"/>
                <w:szCs w:val="20"/>
                <w:lang w:val="es-ES_tradnl"/>
              </w:rPr>
              <w:t xml:space="preserve"> </w:t>
            </w:r>
            <w:r w:rsidRPr="006E5A21">
              <w:rPr>
                <w:rFonts w:eastAsia="Calibri" w:cs="Arial"/>
                <w:bCs/>
                <w:sz w:val="20"/>
                <w:szCs w:val="20"/>
                <w:lang w:val="es-ES_tradnl"/>
              </w:rPr>
              <w:t>ocurre con la aprehensión de mercancías, por ejemplo), por lo que no está justificada la mención propuesta.</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5.7</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5.7</w:t>
            </w:r>
          </w:p>
          <w:p w:rsidR="001D77C1" w:rsidRPr="006E5A21" w:rsidRDefault="001D77C1" w:rsidP="001D77C1">
            <w:pPr>
              <w:contextualSpacing/>
              <w:jc w:val="both"/>
              <w:rPr>
                <w:sz w:val="20"/>
                <w:szCs w:val="20"/>
              </w:rPr>
            </w:pPr>
            <w:r w:rsidRPr="006E5A21">
              <w:rPr>
                <w:sz w:val="20"/>
                <w:szCs w:val="20"/>
              </w:rPr>
              <w:t>De conformidad con el artículo 13.3b) de la Directiva 2016/943, es más correcto condicionar la indemnización sustitutiva al cumplimiento de dos condiciones (perjuicio desproporcionado para el demandado y solución adecuada para el demandante). No se trata pues de que la indemnización se cuantifique de manera razonable, sino de que puede darse el caso de que la indemnización, cualquiera que sea su importe, no resulte un remedio razonable para el demandante y, por tanto, no proceda la sustitución. Incluso resultaría conveniente su refundición para evitar reiteraciones y confusión.</w:t>
            </w:r>
          </w:p>
          <w:p w:rsidR="001D77C1" w:rsidRPr="006E5A21" w:rsidRDefault="001D77C1" w:rsidP="001D77C1">
            <w:pPr>
              <w:contextualSpacing/>
              <w:jc w:val="both"/>
              <w:rPr>
                <w:sz w:val="20"/>
                <w:szCs w:val="20"/>
              </w:rPr>
            </w:pPr>
          </w:p>
          <w:p w:rsidR="001D77C1" w:rsidRPr="006E5A21" w:rsidRDefault="001D77C1" w:rsidP="001D77C1">
            <w:pPr>
              <w:contextualSpacing/>
              <w:jc w:val="both"/>
              <w:rPr>
                <w:sz w:val="20"/>
                <w:szCs w:val="20"/>
              </w:rPr>
            </w:pPr>
            <w:r w:rsidRPr="006E5A21">
              <w:rPr>
                <w:sz w:val="20"/>
                <w:szCs w:val="20"/>
              </w:rPr>
              <w:t>Por ello se propone la siguiente redacción:</w:t>
            </w:r>
          </w:p>
          <w:p w:rsidR="001D77C1" w:rsidRPr="006E5A21" w:rsidRDefault="001D77C1" w:rsidP="001D77C1">
            <w:pPr>
              <w:contextualSpacing/>
              <w:jc w:val="both"/>
              <w:rPr>
                <w:sz w:val="20"/>
                <w:szCs w:val="20"/>
              </w:rPr>
            </w:pPr>
          </w:p>
          <w:p w:rsidR="001D77C1" w:rsidRPr="006E5A21" w:rsidRDefault="001D77C1" w:rsidP="001D77C1">
            <w:pPr>
              <w:contextualSpacing/>
              <w:jc w:val="both"/>
              <w:rPr>
                <w:rFonts w:eastAsia="Calibri" w:cs="Times New Roman"/>
                <w:sz w:val="20"/>
                <w:szCs w:val="20"/>
              </w:rPr>
            </w:pPr>
            <w:r w:rsidRPr="006E5A21">
              <w:rPr>
                <w:sz w:val="20"/>
                <w:szCs w:val="20"/>
              </w:rPr>
              <w:t>“</w:t>
            </w:r>
            <w:r w:rsidRPr="006E5A21">
              <w:rPr>
                <w:rFonts w:eastAsia="Times New Roman" w:cs="Times New Roman"/>
                <w:bCs/>
                <w:sz w:val="20"/>
                <w:szCs w:val="20"/>
              </w:rPr>
              <w:t xml:space="preserve">7. A petición de la parte demandada, cuando sea un tercer adquirente de buena fe, las medidas objeto de las acciones del apartado 1 podrán sustituirse por una indemnización pecuniaria  </w:t>
            </w:r>
            <w:r w:rsidRPr="006E5A21">
              <w:rPr>
                <w:rFonts w:eastAsia="Times New Roman" w:cs="Times New Roman"/>
                <w:bCs/>
                <w:strike/>
                <w:sz w:val="20"/>
                <w:szCs w:val="20"/>
                <w:u w:val="single"/>
              </w:rPr>
              <w:t>razonablemente  satisfactoria</w:t>
            </w:r>
            <w:r w:rsidRPr="006E5A21">
              <w:rPr>
                <w:rFonts w:eastAsia="Times New Roman" w:cs="Times New Roman"/>
                <w:bCs/>
                <w:strike/>
                <w:sz w:val="20"/>
                <w:szCs w:val="20"/>
              </w:rPr>
              <w:t xml:space="preserve">  </w:t>
            </w:r>
            <w:r w:rsidRPr="006E5A21">
              <w:rPr>
                <w:rFonts w:eastAsia="Times New Roman" w:cs="Times New Roman"/>
                <w:bCs/>
                <w:sz w:val="20"/>
                <w:szCs w:val="20"/>
              </w:rPr>
              <w:t xml:space="preserve">si  su  ejecución  hubiera  de  causar  a  dicha  parte demandada un perjuicio desproporcionado </w:t>
            </w:r>
            <w:r w:rsidRPr="006E5A21">
              <w:rPr>
                <w:rFonts w:eastAsia="Times New Roman" w:cs="Times New Roman"/>
                <w:b/>
                <w:bCs/>
                <w:sz w:val="20"/>
                <w:szCs w:val="20"/>
                <w:u w:val="single"/>
              </w:rPr>
              <w:t>y la indemnización resultase razonablemente satisfactoria para el demandante.”</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5.7</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 la precisión aunque no se siga su literalidad en la adaptación del texto.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7</w:t>
            </w:r>
          </w:p>
        </w:tc>
        <w:tc>
          <w:tcPr>
            <w:tcW w:w="641" w:type="pct"/>
            <w:shd w:val="clear" w:color="auto" w:fill="auto"/>
            <w:vAlign w:val="center"/>
          </w:tcPr>
          <w:p w:rsidR="001D77C1" w:rsidRPr="006E5A21" w:rsidRDefault="001D77C1" w:rsidP="00BB58DC">
            <w:pPr>
              <w:spacing w:beforeLines="60" w:before="144" w:afterLines="60" w:after="144"/>
              <w:rPr>
                <w:rFonts w:eastAsia="Times New Roman" w:cs="Times New Roman"/>
                <w:color w:val="000000"/>
                <w:sz w:val="20"/>
                <w:szCs w:val="20"/>
              </w:rPr>
            </w:pPr>
            <w:r w:rsidRPr="006E5A21">
              <w:rPr>
                <w:rFonts w:eastAsia="Times New Roman" w:cs="Times New Roman"/>
                <w:b/>
                <w:bCs/>
                <w:sz w:val="20"/>
                <w:szCs w:val="20"/>
              </w:rPr>
              <w:t>Colegio oficial de ingenieros industriales de Cataluña</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 xml:space="preserve">Art. 7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El APL establece un plazo de prescripción de 3 años de las acciones en defensa de los secretos empresariales cuando debiera ser de 5 años por coherencia con el art. 278 CP establece un plazo de 5 años para la prescripción de los delitos relativos a “secreto de empresa”.</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 xml:space="preserve">Art. 7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Este plazo trienal ha sido fijado como intermedio entre el previsto en la Ley de Competencia Desleal (un año) y el contemplado en la legislación de patentes, marcas y diseños industriales (cinco años).</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7</w:t>
            </w:r>
          </w:p>
          <w:p w:rsidR="001D77C1" w:rsidRPr="006E5A21" w:rsidRDefault="001D77C1" w:rsidP="001D77C1">
            <w:pPr>
              <w:contextualSpacing/>
              <w:jc w:val="both"/>
              <w:rPr>
                <w:rFonts w:eastAsia="Calibri" w:cs="Times New Roman"/>
                <w:sz w:val="20"/>
                <w:szCs w:val="20"/>
              </w:rPr>
            </w:pPr>
            <w:r w:rsidRPr="006E5A21">
              <w:rPr>
                <w:rFonts w:eastAsia="Calibri" w:cs="Times New Roman"/>
                <w:sz w:val="20"/>
                <w:szCs w:val="20"/>
              </w:rPr>
              <w:t>Se sugiere ampliar la prescripción de las acciones de 3 a 5 años.</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7</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Este plazo trienal ha sido fijado como intermedio entre el previsto en la Ley de Competencia Desleal (un año) y el contemplado en la legislación de patentes, marcas y diseños industriales (cinco años).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9</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9</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sugiere eliminar el ´último inciso del apartado 1 del precepto además de sus apartados 2 y 3, quedando reducido a señalar que estará legitimado para el ejercicio de las acciones únicamente el titular del secreto. Y ello porque la CEOE entiende que “</w:t>
            </w:r>
            <w:r w:rsidRPr="006E5A21">
              <w:rPr>
                <w:rFonts w:eastAsia="Calibri" w:cs="Arial"/>
                <w:bCs/>
                <w:i/>
                <w:sz w:val="20"/>
                <w:szCs w:val="20"/>
                <w:lang w:val="es-ES_tradnl"/>
              </w:rPr>
              <w:t>es un error trasladar al derecho que se regula los términos del derecho dela propiedad industrial</w:t>
            </w:r>
            <w:r w:rsidRPr="006E5A21">
              <w:rPr>
                <w:rFonts w:eastAsia="Calibri" w:cs="Arial"/>
                <w:bCs/>
                <w:sz w:val="20"/>
                <w:szCs w:val="20"/>
                <w:lang w:val="es-ES_tradnl"/>
              </w:rPr>
              <w:t>.” Si se reconoce legitimación al poseedor para protegerse frente a la obtención, utilización o divulgación indebida de secretos empresariales, esta circunstancia será suficiente para legitimar su actuación frente a quienes tengan acceso ilegítimo o utilizan o divulguen ilícitamente los secretos empresariales. El poseedor no tiene porqué ser licenciatario, sino que debería bastar con que fuera poseedor legítimo del secreto empresarial.</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9</w:t>
            </w:r>
          </w:p>
          <w:p w:rsidR="001D77C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se comparte el criterio de la CEOE en cuanto a que extender la legitimación a los licenciatarios además del al titular del secreto sea “un error”.</w:t>
            </w:r>
          </w:p>
          <w:p w:rsidR="001E3C4B" w:rsidRDefault="001E3C4B" w:rsidP="001D77C1">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Sobre este aspecto, conviene tener en cuenta que otros informes (como el del CGPJ) abogan por extender la legitimación más allá de lo que propone el anteproyecto.</w:t>
            </w:r>
          </w:p>
          <w:p w:rsidR="001E3C4B" w:rsidRPr="006E5A21" w:rsidRDefault="001E3C4B" w:rsidP="001D77C1">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Se ha optado por mantener la propuesta inicial, que se estima ponderada: legitimación ceñida al titular y al licenciatario al que se habilite para ello</w:t>
            </w:r>
            <w:r w:rsidR="00215383">
              <w:rPr>
                <w:rFonts w:eastAsia="Calibri" w:cs="Arial"/>
                <w:bCs/>
                <w:sz w:val="20"/>
                <w:szCs w:val="20"/>
                <w:lang w:val="es-ES_tradnl"/>
              </w:rPr>
              <w:t>, más legitimación de segundo grado (esto es, en caso de inactividad por el titular, con el consiguiente incumplimiento de mantener al licenciatario en el goce pacífico) de los demás licenciatarios.</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10</w:t>
            </w:r>
          </w:p>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10</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atribuir la competencia territorial conforme al art. 118 LP por considerarlo la CEOE “más adecuado” lo que además reduce el “fórum shopping”.</w:t>
            </w:r>
            <w:r w:rsidRPr="006E5A21">
              <w:rPr>
                <w:rFonts w:eastAsia="Calibri" w:cs="Arial"/>
                <w:bCs/>
                <w:iCs/>
                <w:sz w:val="20"/>
                <w:szCs w:val="20"/>
                <w:lang w:val="es-ES_tradnl"/>
              </w:rPr>
              <w:t xml:space="preserve"> En esos casos, de seguirse el criterio actual del Anteproyecto, el demandante podría elegir entre la totalidad de los Juzgados Mercantiles del país.</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10</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se comparte el criterio de la CEOE entendiendo que el régimen previsto en el APL resulta más garantista.</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10</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considera que el artículo 10 “Competencia” debería ser numerado como Artículo 9 y rubricado “</w:t>
            </w:r>
            <w:r w:rsidRPr="006E5A21">
              <w:rPr>
                <w:rFonts w:eastAsia="Calibri" w:cs="Arial"/>
                <w:bCs/>
                <w:i/>
                <w:sz w:val="20"/>
                <w:szCs w:val="20"/>
                <w:lang w:val="es-ES_tradnl"/>
              </w:rPr>
              <w:t>Competencia objetiva y territorial</w:t>
            </w:r>
            <w:r w:rsidRPr="006E5A21">
              <w:rPr>
                <w:rFonts w:eastAsia="Calibri" w:cs="Arial"/>
                <w:bCs/>
                <w:sz w:val="20"/>
                <w:szCs w:val="20"/>
                <w:lang w:val="es-ES_tradnl"/>
              </w:rPr>
              <w:t xml:space="preserve">”. De esta forma sería sistemáticamente más claro al ser sucesivo al artículo 8 sobre “Jurisdicción y procedimiento”.  </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10</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El art. 10 no atribuye competencia objetiva alguna pues la modificación introducida en el art. 13 LCD señalándose que se considera desleal la violación de secretos conlleva que las demandas en defensa de los secretos empresariales formen parte de las demandas de competencia desleal y de ahí se deducirá la competencia objetiva. Por tanto, el art. 10 sólo establece la competencia territorial y de ahí que necesariamente sea ubicado tras el artículo que identifica al demandante en el proceso pues es a éste al que corresponde la elección de Juzgado.</w:t>
            </w:r>
          </w:p>
        </w:tc>
      </w:tr>
      <w:tr w:rsidR="001D77C1" w:rsidRPr="006E5A21" w:rsidTr="00343086">
        <w:trPr>
          <w:trHeight w:val="738"/>
        </w:trPr>
        <w:tc>
          <w:tcPr>
            <w:tcW w:w="641" w:type="pct"/>
            <w:vMerge w:val="restar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11</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la eliminación de este artículo y la inclusión de su texto, en una nueva disposición final por la que se modifique la LEC introduciendo un nuevo art. 140 bis, abriendo su ámbito de aplicación a todo tipo de procedimientos, además de los de arbitraje y mediación.</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Por razones de técnica legislativa, buena regulación y proporcionalidad, no procede llevar el texto del art. 11 del APL a la LEC toda vez que el mismo transpone el art. 9 de la directiva que tiene por objetivo garantizar la confidencialidad de los secretos durante todo tipo de proceso judicial en el que éstos se ventilen y de ahí que en el apartado 2 del art. 11, primer párrafo </w:t>
            </w:r>
            <w:r w:rsidRPr="006E5A21">
              <w:rPr>
                <w:rFonts w:eastAsia="Calibri" w:cs="Arial"/>
                <w:bCs/>
                <w:i/>
                <w:sz w:val="20"/>
                <w:szCs w:val="20"/>
                <w:lang w:val="es-ES_tradnl"/>
              </w:rPr>
              <w:t>in fine</w:t>
            </w:r>
            <w:r w:rsidRPr="006E5A21">
              <w:rPr>
                <w:rFonts w:eastAsia="Calibri" w:cs="Arial"/>
                <w:bCs/>
                <w:sz w:val="20"/>
                <w:szCs w:val="20"/>
                <w:lang w:val="es-ES_tradnl"/>
              </w:rPr>
              <w:t xml:space="preserve">, se señale que la confidencialidad </w:t>
            </w:r>
            <w:r w:rsidRPr="006E5A21">
              <w:rPr>
                <w:rFonts w:eastAsia="Calibri" w:cs="Arial"/>
                <w:bCs/>
                <w:sz w:val="20"/>
                <w:szCs w:val="20"/>
                <w:lang w:val="es-ES_tradnl"/>
              </w:rPr>
              <w:lastRenderedPageBreak/>
              <w:t>también se garantizará, además de en el procedimiento propio por violación de secretos empresariales, en cualquier “</w:t>
            </w:r>
            <w:r w:rsidRPr="006E5A21">
              <w:rPr>
                <w:rFonts w:eastAsia="Calibri" w:cs="Arial"/>
                <w:bCs/>
                <w:i/>
                <w:sz w:val="20"/>
                <w:szCs w:val="20"/>
                <w:lang w:val="es-ES_tradnl"/>
              </w:rPr>
              <w:t>procedimiento de otra clase</w:t>
            </w:r>
            <w:r w:rsidRPr="006E5A21">
              <w:rPr>
                <w:rFonts w:eastAsia="Calibri" w:cs="Arial"/>
                <w:bCs/>
                <w:sz w:val="20"/>
                <w:szCs w:val="20"/>
                <w:lang w:val="es-ES_tradnl"/>
              </w:rPr>
              <w:t>”.</w:t>
            </w:r>
          </w:p>
        </w:tc>
      </w:tr>
      <w:tr w:rsidR="001D77C1" w:rsidRPr="006E5A21" w:rsidTr="00343086">
        <w:trPr>
          <w:trHeight w:val="738"/>
        </w:trPr>
        <w:tc>
          <w:tcPr>
            <w:tcW w:w="641" w:type="pct"/>
            <w:vMerge/>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11</w:t>
            </w:r>
          </w:p>
          <w:p w:rsidR="001D77C1" w:rsidRPr="006E5A21" w:rsidRDefault="001D77C1" w:rsidP="001D77C1">
            <w:pPr>
              <w:jc w:val="both"/>
              <w:rPr>
                <w:rFonts w:cs="Ebrima"/>
                <w:color w:val="000000"/>
                <w:sz w:val="20"/>
                <w:szCs w:val="20"/>
              </w:rPr>
            </w:pPr>
            <w:r w:rsidRPr="006E5A21">
              <w:rPr>
                <w:rFonts w:eastAsia="Calibri" w:cs="Times New Roman"/>
                <w:sz w:val="20"/>
                <w:szCs w:val="20"/>
              </w:rPr>
              <w:t xml:space="preserve">Se sugiere </w:t>
            </w:r>
            <w:r w:rsidRPr="006E5A21">
              <w:rPr>
                <w:rFonts w:cs="Ebrima"/>
                <w:color w:val="000000"/>
                <w:sz w:val="20"/>
                <w:szCs w:val="20"/>
              </w:rPr>
              <w:t>trasladar el contenido del art. 11 a una codificación de la Ley de Enjuiciamiento Civil, quizás un nuevo artículo 140 bis.</w:t>
            </w:r>
          </w:p>
          <w:p w:rsidR="001D77C1" w:rsidRPr="006E5A21" w:rsidRDefault="001D77C1" w:rsidP="001D77C1">
            <w:pPr>
              <w:autoSpaceDE w:val="0"/>
              <w:autoSpaceDN w:val="0"/>
              <w:adjustRightInd w:val="0"/>
              <w:spacing w:after="0" w:line="240" w:lineRule="auto"/>
              <w:jc w:val="both"/>
              <w:rPr>
                <w:rFonts w:cs="Ebrima"/>
                <w:color w:val="000000"/>
                <w:sz w:val="20"/>
                <w:szCs w:val="20"/>
              </w:rPr>
            </w:pPr>
            <w:r w:rsidRPr="006E5A21">
              <w:rPr>
                <w:rFonts w:cs="Ebrima"/>
                <w:color w:val="000000"/>
                <w:sz w:val="20"/>
                <w:szCs w:val="20"/>
              </w:rPr>
              <w:t xml:space="preserve">El artículo 13 de la Directiva tiene como finalidad proteger los secretos empresariales en cualquier tipo de procedimiento judicial en el que sea necesario dar a conocer la información al tribunal. Tal y como está redactado el art. 11 de la propuesta de ley, se limita su aplicación a los procedimientos de violación de secretos empresariales de acuerdo con la ley. Entiendo que su aplicación debiera extenderse a cualquier procedimiento en el que cualquiera de las partes se vea obligada a dar a conocer su know-how.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Esto se conseguiría si el contenido del texto se trasladara a una exposición adicional, sustituyendo el primer párrafo por el siguiente redactado: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“1. Las partes, sus abogados o procuradores, el personal de la Administración de Justicia, los testigos, los peritos y cualesquiera otras personas que intervengan en un procedimiento relativo a la violación de un secreto empresarial </w:t>
            </w:r>
            <w:r w:rsidRPr="006E5A21">
              <w:rPr>
                <w:rFonts w:eastAsia="Calibri" w:cs="Arial"/>
                <w:bCs/>
                <w:i/>
                <w:sz w:val="20"/>
                <w:szCs w:val="20"/>
                <w:lang w:val="es-ES_tradnl"/>
              </w:rPr>
              <w:t>o que de cualquier modo exija a quien tiene su control dar acceso a un tercero a la totalidad o a una parte del mismo</w:t>
            </w:r>
            <w:r w:rsidRPr="006E5A21">
              <w:rPr>
                <w:rFonts w:eastAsia="Calibri" w:cs="Arial"/>
                <w:b/>
                <w:bCs/>
                <w:sz w:val="20"/>
                <w:szCs w:val="20"/>
                <w:lang w:val="es-ES_tradnl"/>
              </w:rPr>
              <w:t xml:space="preserve"> </w:t>
            </w:r>
            <w:r w:rsidRPr="006E5A21">
              <w:rPr>
                <w:rFonts w:eastAsia="Calibri" w:cs="Arial"/>
                <w:bCs/>
                <w:sz w:val="20"/>
                <w:szCs w:val="20"/>
                <w:lang w:val="es-ES_tradnl"/>
              </w:rPr>
              <w:t xml:space="preserve">, o que tengan acceso a documentos que los contengan y que obren en dicho procedimiento por razón de </w:t>
            </w:r>
            <w:r w:rsidRPr="006E5A21">
              <w:rPr>
                <w:rFonts w:eastAsia="Calibri" w:cs="Arial"/>
                <w:bCs/>
                <w:sz w:val="20"/>
                <w:szCs w:val="20"/>
                <w:lang w:val="es-ES_tradnl"/>
              </w:rPr>
              <w:lastRenderedPageBreak/>
              <w:t>su cargo o de la función que desempeñan, no podrán utilizar ni revelar aquella información que pueda constituir secreto empresarial y que los jueces o tribunales, de oficio o a petición debidamente motivada de cualquiera de las partes, hayan declarado confidencial y del que hayan tenido conocimiento a raíz de dicha intervención o de dicho acceso”.</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Por otra parte, se sugiere incluir un apartado que contenga el régimen de sanciones por incumplimiento por las partes, peritos, testigos, etc., de su obligación de preservar la confidencialidad de la información que ha sido objeto de medidas específicas de protección por parte del tribunal.  </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11</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Por razones de técnica legislativa, buena regulación y proporcionalidad, no procede llevar el texto del art. 11 del APL a la LEC toda vez que el mismo transpone el art. 9 de la directiva que tiene por objetivo garantizar la confidencialidad de los secretos durante todo tipo de proceso judicial en el que éstos se ventilen y de ahí que en el apartado 2 del art. 11, primer párrafo </w:t>
            </w:r>
            <w:r w:rsidRPr="006E5A21">
              <w:rPr>
                <w:rFonts w:eastAsia="Calibri" w:cs="Arial"/>
                <w:bCs/>
                <w:i/>
                <w:sz w:val="20"/>
                <w:szCs w:val="20"/>
                <w:lang w:val="es-ES_tradnl"/>
              </w:rPr>
              <w:t>in fine</w:t>
            </w:r>
            <w:r w:rsidRPr="006E5A21">
              <w:rPr>
                <w:rFonts w:eastAsia="Calibri" w:cs="Arial"/>
                <w:bCs/>
                <w:sz w:val="20"/>
                <w:szCs w:val="20"/>
                <w:lang w:val="es-ES_tradnl"/>
              </w:rPr>
              <w:t>, se señale que la confidencialidad también se garantizará, además de en el procedimiento propio por violación de secretos empresariales, en cualquier “</w:t>
            </w:r>
            <w:r w:rsidRPr="006E5A21">
              <w:rPr>
                <w:rFonts w:eastAsia="Calibri" w:cs="Arial"/>
                <w:bCs/>
                <w:i/>
                <w:sz w:val="20"/>
                <w:szCs w:val="20"/>
                <w:lang w:val="es-ES_tradnl"/>
              </w:rPr>
              <w:t>procedimiento de otra clase</w:t>
            </w:r>
            <w:r w:rsidRPr="006E5A21">
              <w:rPr>
                <w:rFonts w:eastAsia="Calibri" w:cs="Arial"/>
                <w:bCs/>
                <w:sz w:val="20"/>
                <w:szCs w:val="20"/>
                <w:lang w:val="es-ES_tradnl"/>
              </w:rPr>
              <w:t>”.</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12</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sugiere matizar el texto en el siguiente sentido:</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 xml:space="preserve">“Artículo 12. Diligencias de comprobación </w:t>
            </w:r>
            <w:r w:rsidRPr="006E5A21">
              <w:rPr>
                <w:rFonts w:eastAsia="Calibri" w:cs="Arial"/>
                <w:bCs/>
                <w:i/>
                <w:sz w:val="20"/>
                <w:szCs w:val="20"/>
                <w:lang w:val="es-ES_tradnl"/>
              </w:rPr>
              <w:t>de hechos y preliminares.</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Quien ejercite o vaya a ejercitar una acción civil de defensa de secretos empresariales podrá solicitar del Juzgado de lo Mercantil que haya de entender de ella la práctica de diligencias de comprobación de aquellos hechos cuyo conocimiento resulte indispensable para preparar la correspondiente demanda. Estas diligencias de comprobación se regirán por lo previsto en el Capítulo II del Título XII de la Ley de Patentes.</w:t>
            </w:r>
          </w:p>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Cs/>
                <w:i/>
                <w:sz w:val="20"/>
                <w:szCs w:val="20"/>
                <w:lang w:val="es-ES_tradnl"/>
              </w:rPr>
              <w:t xml:space="preserve">Asimismo, serán aplicables a los secretos empresariales, en la medida en que sean compatibles con su naturaleza, las disposiciones contenidas en los ordinales 7º y 8º del apartado </w:t>
            </w:r>
            <w:r w:rsidRPr="006E5A21">
              <w:rPr>
                <w:rFonts w:eastAsia="Calibri" w:cs="Arial"/>
                <w:bCs/>
                <w:i/>
                <w:sz w:val="20"/>
                <w:szCs w:val="20"/>
                <w:lang w:val="es-ES_tradnl"/>
              </w:rPr>
              <w:lastRenderedPageBreak/>
              <w:t>1 del artículo 256 de la Ley de Enjuiciamiento Civil</w:t>
            </w:r>
            <w:r w:rsidRPr="006E5A21">
              <w:rPr>
                <w:rFonts w:eastAsia="Calibri" w:cs="Arial"/>
                <w:bCs/>
                <w:sz w:val="20"/>
                <w:szCs w:val="20"/>
                <w:lang w:val="es-ES_tradnl"/>
              </w:rPr>
              <w:t>.”</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12</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ACEPTA PARCIALMENTE respecto del título del precepto que pasará a denominarse “</w:t>
            </w:r>
            <w:r w:rsidRPr="006E5A21">
              <w:rPr>
                <w:rFonts w:eastAsia="Calibri" w:cs="Arial"/>
                <w:bCs/>
                <w:i/>
                <w:sz w:val="20"/>
                <w:szCs w:val="20"/>
                <w:lang w:val="es-ES_tradnl"/>
              </w:rPr>
              <w:t>Diligencias de comprobación de hechos</w:t>
            </w:r>
            <w:r w:rsidRPr="006E5A21">
              <w:rPr>
                <w:rFonts w:eastAsia="Calibri" w:cs="Arial"/>
                <w:bCs/>
                <w:sz w:val="20"/>
                <w:szCs w:val="20"/>
                <w:lang w:val="es-ES_tradnl"/>
              </w:rPr>
              <w:t>” tal y como se recoge en la LP a la que se remite.</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Por lo demás, la observación formulada no parece haber tenido suficientemente en cuenta que ha sido voluntad del APL que las diligencias de comprobación de secretos empresariales sigan las reglas establecidas por la LP en sus arts. 123 a 126, los cuales se aplicarán sin perjuicio de lo dispuesto por el art. 256.1 de la LEC en su conjunto (ordinales 1º a 11º) pues a éste se remite el art. 123.1 de la LP.</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16</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16</w:t>
            </w:r>
          </w:p>
          <w:p w:rsidR="001D77C1" w:rsidRPr="006E5A21" w:rsidRDefault="001D77C1" w:rsidP="001D77C1">
            <w:pPr>
              <w:contextualSpacing/>
              <w:jc w:val="both"/>
              <w:rPr>
                <w:rFonts w:eastAsia="Calibri" w:cs="Times New Roman"/>
                <w:sz w:val="20"/>
                <w:szCs w:val="20"/>
              </w:rPr>
            </w:pPr>
            <w:r w:rsidRPr="006E5A21">
              <w:rPr>
                <w:rFonts w:eastAsia="Calibri" w:cs="Times New Roman"/>
                <w:sz w:val="20"/>
                <w:szCs w:val="20"/>
              </w:rPr>
              <w:t>Se propone añadir en el primer párrafo del artículo que se podrán adoptar medidas cautelares además de contra el presunto infractor, “</w:t>
            </w:r>
            <w:r w:rsidRPr="006E5A21">
              <w:rPr>
                <w:rFonts w:eastAsia="Calibri" w:cs="Times New Roman"/>
                <w:b/>
                <w:sz w:val="20"/>
                <w:szCs w:val="20"/>
              </w:rPr>
              <w:t>contra el tercer adquirente de buena fe</w:t>
            </w:r>
            <w:r w:rsidRPr="006E5A21">
              <w:rPr>
                <w:rFonts w:eastAsia="Calibri" w:cs="Times New Roman"/>
                <w:sz w:val="20"/>
                <w:szCs w:val="20"/>
              </w:rPr>
              <w:t>”, teniendo en consideración que, en ocasiones, puede ser más efectivo para proteger un secreto empresarial imponer medidas cautelares contra personas distintas del infractor, como por ejemplo contra aquellas personas que estén en posesión de objetos, materiales, sustancias, ficheros electrónicos y cualesquiera otros soportes que contengan el secreto empresarial, aunque hayan sido adquiridos de buena fe.</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Asimismo, se propone la adición de un nuevo apartado e) que establezca como medida cautelar “la retirada y/o eliminación de y toda la publicidad y/o promoción de mercancías entendiendo por tal lo dispuesto en el artículo 3.4, que infrinjan cualquiera de las disposiciones de la presente norma”. Y ello, teniendo en consideración que la publicidad es un elemento que puede posibilitar un beneficio injusto para el infractor a través de información que no debería utilizar.</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16</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En cuanto a la adopción de medidas cautelares frente al tercer adquirente de buena fe, la sugerencia no ha tenido en cuenta lo ya dispuesto por el art. 15 por cuanto habilita la solicitud de medidas cautelares a que “</w:t>
            </w:r>
            <w:r w:rsidRPr="006E5A21">
              <w:rPr>
                <w:rFonts w:eastAsia="Calibri" w:cs="Arial"/>
                <w:bCs/>
                <w:i/>
                <w:sz w:val="20"/>
                <w:szCs w:val="20"/>
                <w:lang w:val="es-ES_tradnl"/>
              </w:rPr>
              <w:t>ejercite o vaya a ejercitar una acción civil de defensa de secretos empresariales</w:t>
            </w:r>
            <w:r w:rsidRPr="006E5A21">
              <w:rPr>
                <w:rFonts w:eastAsia="Calibri" w:cs="Arial"/>
                <w:bCs/>
                <w:sz w:val="20"/>
                <w:szCs w:val="20"/>
                <w:lang w:val="es-ES_tradnl"/>
              </w:rPr>
              <w:t>”, la cual, conforme al art. 4, podrá ser ejercitada frente al infractor (primer párrafo) o frente a un tercer adquirente de buena fe (tercer párrafo). Además, debe tenerse en cuenta que el art. 20.3 prevé medidas específicas para los casos en que los terceros “</w:t>
            </w:r>
            <w:r w:rsidRPr="006E5A21">
              <w:rPr>
                <w:rFonts w:eastAsia="Calibri" w:cs="Arial"/>
                <w:bCs/>
                <w:i/>
                <w:sz w:val="20"/>
                <w:szCs w:val="20"/>
                <w:lang w:val="es-ES_tradnl"/>
              </w:rPr>
              <w:t>hayan resultado afectados desfavorablemente por las medidas cautelares</w:t>
            </w:r>
            <w:r w:rsidRPr="006E5A21">
              <w:rPr>
                <w:rFonts w:eastAsia="Calibri" w:cs="Arial"/>
                <w:bCs/>
                <w:sz w:val="20"/>
                <w:szCs w:val="20"/>
                <w:lang w:val="es-ES_tradnl"/>
              </w:rPr>
              <w:t>”. Por todo ello, no resulta necesaria la inclusión del inciso propuesto en el art. 16.</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En lo que respecta a las medidas cautelares solicitadas sobre la publicidad, no pueden así preverse toda vez que la publicidad y la promoción no son sino medidas accesorias del principal sobre el que ya se prevén las cautelares debiendo la norma regular lo sustantivo y no lo adjetivo que en su caso le acompañe.</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Art. 17</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 xml:space="preserve">Art. 17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cambiar “parte contraria” por “parte demandada” por resultar más preciso a juicio de la CEOE.</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 xml:space="preserve">Art. 17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 xml:space="preserve">No se comparte la observación pues el precepto alude a la ponderación que habrá de realizar el juez sobre los </w:t>
            </w:r>
            <w:r w:rsidRPr="006E5A21">
              <w:rPr>
                <w:rFonts w:eastAsia="Calibri" w:cs="Arial"/>
                <w:bCs/>
                <w:sz w:val="20"/>
                <w:szCs w:val="20"/>
                <w:lang w:val="es-ES_tradnl"/>
              </w:rPr>
              <w:lastRenderedPageBreak/>
              <w:t>presupuestos de las medidas cautelares y éstos no sólo se refieren a la parte demandada sino a ambas y de ahí la elección del término “parte contraria” (cuando en el resto del APL se habla de parte demandada).</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Art. 20</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Art. 20</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Se propone la supresión del apartado 3 y la modificación del apartado 2 como sigue:</w:t>
            </w:r>
          </w:p>
          <w:p w:rsidR="001D77C1" w:rsidRPr="006E5A21" w:rsidRDefault="001D77C1" w:rsidP="001D77C1">
            <w:pPr>
              <w:spacing w:before="100"/>
              <w:contextualSpacing/>
              <w:jc w:val="both"/>
              <w:rPr>
                <w:rFonts w:cs="Arial"/>
                <w:b/>
                <w:bCs/>
                <w:iCs/>
                <w:sz w:val="20"/>
                <w:szCs w:val="20"/>
                <w:u w:val="single"/>
              </w:rPr>
            </w:pPr>
            <w:r w:rsidRPr="006E5A21">
              <w:rPr>
                <w:rFonts w:eastAsia="Calibri" w:cs="Times New Roman"/>
                <w:sz w:val="20"/>
                <w:szCs w:val="20"/>
              </w:rPr>
              <w:t>“</w:t>
            </w:r>
            <w:r w:rsidRPr="006E5A21">
              <w:rPr>
                <w:rFonts w:cs="Arial"/>
                <w:bCs/>
                <w:iCs/>
                <w:sz w:val="20"/>
                <w:szCs w:val="20"/>
              </w:rPr>
              <w:t xml:space="preserve">2. </w:t>
            </w:r>
            <w:r w:rsidRPr="006E5A21">
              <w:rPr>
                <w:rFonts w:cs="Arial"/>
                <w:bCs/>
                <w:iCs/>
                <w:strike/>
                <w:sz w:val="20"/>
                <w:szCs w:val="20"/>
              </w:rPr>
              <w:t>A los efectos de determinar la caución, el tribunal habrá de valorar</w:t>
            </w:r>
            <w:r w:rsidRPr="006E5A21">
              <w:rPr>
                <w:rFonts w:cs="Arial"/>
                <w:bCs/>
                <w:iCs/>
                <w:sz w:val="20"/>
                <w:szCs w:val="20"/>
              </w:rPr>
              <w:t xml:space="preserve"> La caución servirá para compensar, además, los potenciales perjuicios que las medidas cautelares puedan ocasionar a los terceros que resulten afectados desfavorablemente por aquellas. A los efectos de lo dispuesto en el apartado siguiente, no podrá cancelarse la caución en tanto no </w:t>
            </w:r>
            <w:r w:rsidRPr="006E5A21">
              <w:rPr>
                <w:rFonts w:cs="Arial"/>
                <w:bCs/>
                <w:iCs/>
                <w:strike/>
                <w:sz w:val="20"/>
                <w:szCs w:val="20"/>
              </w:rPr>
              <w:t>haya transcurrido un año desde el alzamiento de las medidas cautelares</w:t>
            </w:r>
            <w:r w:rsidRPr="006E5A21">
              <w:rPr>
                <w:rFonts w:cs="Arial"/>
                <w:bCs/>
                <w:iCs/>
                <w:sz w:val="20"/>
                <w:szCs w:val="20"/>
              </w:rPr>
              <w:t xml:space="preserve"> </w:t>
            </w:r>
            <w:r w:rsidRPr="006E5A21">
              <w:rPr>
                <w:rFonts w:cs="Arial"/>
                <w:b/>
                <w:bCs/>
                <w:iCs/>
                <w:sz w:val="20"/>
                <w:szCs w:val="20"/>
                <w:u w:val="single"/>
              </w:rPr>
              <w:t>se haya resuelto la solicitud de compensación que puedan realizar ante el Juzgado los terceros afectados, que deberá interponerse dentro de los veinte días siguientes a la notificación a los terceros del alzamiento de las medidas.”</w:t>
            </w:r>
          </w:p>
          <w:p w:rsidR="001D77C1" w:rsidRPr="006E5A21" w:rsidRDefault="001D77C1" w:rsidP="001D77C1">
            <w:pPr>
              <w:spacing w:before="100"/>
              <w:contextualSpacing/>
              <w:jc w:val="both"/>
              <w:rPr>
                <w:rFonts w:cs="Arial"/>
                <w:bCs/>
                <w:iCs/>
                <w:sz w:val="20"/>
                <w:szCs w:val="20"/>
              </w:rPr>
            </w:pPr>
          </w:p>
          <w:p w:rsidR="001D77C1" w:rsidRPr="006E5A21" w:rsidRDefault="001D77C1" w:rsidP="001D77C1">
            <w:pPr>
              <w:jc w:val="both"/>
              <w:rPr>
                <w:sz w:val="20"/>
                <w:szCs w:val="20"/>
              </w:rPr>
            </w:pPr>
            <w:r w:rsidRPr="006E5A21">
              <w:rPr>
                <w:rFonts w:cs="Arial"/>
                <w:bCs/>
                <w:iCs/>
                <w:sz w:val="20"/>
                <w:szCs w:val="20"/>
              </w:rPr>
              <w:t>Ello se justifica</w:t>
            </w:r>
            <w:r w:rsidRPr="006E5A21">
              <w:rPr>
                <w:sz w:val="20"/>
                <w:szCs w:val="20"/>
              </w:rPr>
              <w:t xml:space="preserve"> en que el nuevo precepto no es necesario a la vista del artículo 728.3 de Ley 1/2000, de 7 de enero, de enjuiciamiento civil al que, de hecho, se remite expresamente. Lo previsto en la Ley de Enjuiciamiento Civil es ya pues suficiente para transponer el artículo 11.4 de la Directiva 2016/943. Incluso, si se entendiera que la Directiva </w:t>
            </w:r>
            <w:r w:rsidRPr="006E5A21">
              <w:rPr>
                <w:sz w:val="20"/>
                <w:szCs w:val="20"/>
              </w:rPr>
              <w:lastRenderedPageBreak/>
              <w:t>requiere de una previsión legal específica para que “</w:t>
            </w:r>
            <w:r w:rsidRPr="006E5A21">
              <w:rPr>
                <w:i/>
                <w:sz w:val="20"/>
                <w:szCs w:val="20"/>
              </w:rPr>
              <w:t xml:space="preserve">la </w:t>
            </w:r>
            <w:proofErr w:type="gramStart"/>
            <w:r w:rsidRPr="006E5A21">
              <w:rPr>
                <w:i/>
                <w:sz w:val="20"/>
                <w:szCs w:val="20"/>
              </w:rPr>
              <w:t>fianza ...</w:t>
            </w:r>
            <w:proofErr w:type="gramEnd"/>
            <w:r w:rsidRPr="006E5A21">
              <w:rPr>
                <w:i/>
                <w:sz w:val="20"/>
                <w:szCs w:val="20"/>
              </w:rPr>
              <w:t xml:space="preserve"> asegure la eventual indemnización del perjuicio sufrido..., </w:t>
            </w:r>
            <w:r w:rsidRPr="006E5A21">
              <w:rPr>
                <w:b/>
                <w:i/>
                <w:sz w:val="20"/>
                <w:szCs w:val="20"/>
                <w:u w:val="single"/>
              </w:rPr>
              <w:t>cuando proceda</w:t>
            </w:r>
            <w:r w:rsidRPr="006E5A21">
              <w:rPr>
                <w:i/>
                <w:sz w:val="20"/>
                <w:szCs w:val="20"/>
              </w:rPr>
              <w:t>, por cualquier otra persona afectada por las medidas</w:t>
            </w:r>
            <w:r w:rsidRPr="006E5A21">
              <w:rPr>
                <w:sz w:val="20"/>
                <w:szCs w:val="20"/>
              </w:rPr>
              <w:t xml:space="preserve">”, la norma resultaría innecesaria porque, en nuestro sistema, simplemente “no procede” ya que no está prevista la posibilidad de adoptar medidas cautelares contra terceros que no sean demandados. </w:t>
            </w:r>
          </w:p>
          <w:p w:rsidR="001D77C1" w:rsidRPr="006E5A21" w:rsidRDefault="001D77C1" w:rsidP="001D77C1">
            <w:pPr>
              <w:jc w:val="both"/>
              <w:rPr>
                <w:sz w:val="20"/>
                <w:szCs w:val="20"/>
              </w:rPr>
            </w:pPr>
            <w:r w:rsidRPr="006E5A21">
              <w:rPr>
                <w:sz w:val="20"/>
                <w:szCs w:val="20"/>
              </w:rPr>
              <w:t>Si, por consiguiente, lo que se está proponiendo al Legislador es que se puedan adoptar medidas que afecten a terceros distintos del demandado, entonces, debería hacerse a través de una reforma de la referida Ley de Enjuiciamiento Civil, pues no estaríamos ante una cuestión exclusiva de la protección de los secretos empresariales, sino ante una cuestión que afectaría a la tutela cautelar en general.</w:t>
            </w:r>
          </w:p>
          <w:p w:rsidR="001D77C1" w:rsidRPr="006E5A21" w:rsidRDefault="001D77C1" w:rsidP="001D77C1">
            <w:pPr>
              <w:jc w:val="both"/>
              <w:rPr>
                <w:rFonts w:eastAsia="Calibri" w:cs="Times New Roman"/>
                <w:sz w:val="20"/>
                <w:szCs w:val="20"/>
              </w:rPr>
            </w:pPr>
            <w:r w:rsidRPr="006E5A21">
              <w:rPr>
                <w:sz w:val="20"/>
                <w:szCs w:val="20"/>
              </w:rPr>
              <w:t xml:space="preserve">Si, pese a las razones expuestas, se entendiese oportuno mantener un artículo específico sobre la fianza en el Anteproyecto, propondríamos una redacción alternativa. Ésta se justifica porque (i) la única especialidad resultante del artículo 11.4 de la Directiva 2016/943 es la posibilidad de usar la fianza para compensar los perjuicios de terceros afectados distintos del demandado y (ii) el plazo de un año para la cancelación de la caución tras el levantamiento de las medidas cautelares resulta excesivo y antieconómico. Si existen terceros afectados, éstos en buena lógica, estarán informados de la posibilidad de ser compensados y, en todo caso, serán notificados por el Juzgado a tal efecto del </w:t>
            </w:r>
            <w:r w:rsidRPr="006E5A21">
              <w:rPr>
                <w:sz w:val="20"/>
                <w:szCs w:val="20"/>
              </w:rPr>
              <w:lastRenderedPageBreak/>
              <w:t xml:space="preserve">alzamiento de las medidas. Se considera más que razonable otorgarles el plazo de veinte días para presentar su solicitud de compensación, escrito que es simple y no requiere de gran preparación. A modo de referencia sistemática, piénsese por ejemplo que el solicitante de las medidas dispone, según el artículo 713 de la Ley de Enjuiciamiento Civil (al que remite el artículo 742), de un plazo de diez días hábiles para oponerse a la cuantificación de los daños realizada por el afectado o que el solicitante </w:t>
            </w:r>
            <w:r w:rsidRPr="006E5A21">
              <w:rPr>
                <w:i/>
                <w:sz w:val="20"/>
                <w:szCs w:val="20"/>
              </w:rPr>
              <w:t xml:space="preserve">ante </w:t>
            </w:r>
            <w:proofErr w:type="spellStart"/>
            <w:r w:rsidRPr="006E5A21">
              <w:rPr>
                <w:i/>
                <w:sz w:val="20"/>
                <w:szCs w:val="20"/>
              </w:rPr>
              <w:t>causam</w:t>
            </w:r>
            <w:proofErr w:type="spellEnd"/>
            <w:r w:rsidRPr="006E5A21">
              <w:rPr>
                <w:sz w:val="20"/>
                <w:szCs w:val="20"/>
              </w:rPr>
              <w:t xml:space="preserve"> de medidas cautelares dispone de veinte días para interponer la demanda desde la concesión de éstas (artículo 730.2 de la Ley de Enjuiciamiento Civil). Por tanto, el plazo de un año resultaría extraordinariamente </w:t>
            </w:r>
            <w:proofErr w:type="spellStart"/>
            <w:r w:rsidRPr="006E5A21">
              <w:rPr>
                <w:sz w:val="20"/>
                <w:szCs w:val="20"/>
              </w:rPr>
              <w:t>antisistemático</w:t>
            </w:r>
            <w:proofErr w:type="spellEnd"/>
            <w:r w:rsidRPr="006E5A21">
              <w:rPr>
                <w:sz w:val="20"/>
                <w:szCs w:val="20"/>
              </w:rPr>
              <w:t>. Adicionalmente, piénsese en lo antieconómico de mantener una caución un año con independencia de que haya o no terceros afectados o de que éstos, habiendo sido notificados de la posibilidad de reclamar la compensación de los daños sufridos, decidan o no interponer una solicitud de compensación o tarden un año en hacerlo.</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Art. 20</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puede compartirse la observación formulada toda vez que la redacción del precepto se limita a adaptar las medidas procesales generales para los casos particulares contemplados en esta Ley especial para dar debido cumplimiento a los mandatos de la directiva que  se transpone. En lo demás, por razones de técnica legislativa, se contemplan las oportunas remisiones al régimen general de la LEC sin introducir ulteriores especificidades.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Nuevo art. 21</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Nuevo art. 21 sobre “</w:t>
            </w:r>
            <w:r w:rsidRPr="006E5A21">
              <w:rPr>
                <w:rFonts w:eastAsia="Calibri" w:cs="Arial"/>
                <w:b/>
                <w:bCs/>
                <w:i/>
                <w:sz w:val="20"/>
                <w:szCs w:val="20"/>
                <w:lang w:val="es-ES_tradnl"/>
              </w:rPr>
              <w:t>Arbitraje y mediación</w:t>
            </w:r>
            <w:r w:rsidRPr="006E5A21">
              <w:rPr>
                <w:rFonts w:eastAsia="Calibri" w:cs="Arial"/>
                <w:b/>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w:t>
            </w:r>
            <w:r w:rsidRPr="006E5A21">
              <w:rPr>
                <w:rFonts w:eastAsia="Calibri" w:cs="Arial"/>
                <w:bCs/>
                <w:i/>
                <w:sz w:val="20"/>
                <w:szCs w:val="20"/>
                <w:lang w:val="es-ES_tradnl"/>
              </w:rPr>
              <w:t xml:space="preserve">1. Los interesados podrán recurrir a la mediación o someter a arbitraje las cuestiones litigiosas surgidas entre ellos con ocasión del ejercicio de los derechos sobre secretos reconocidos en esta Ley, en aquellas materias no excluidas de la libre disposición de las partes conforme a derecho. </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 xml:space="preserve">2. El laudo arbitral firme producirá efectos de cosa juzgada de </w:t>
            </w:r>
            <w:r w:rsidRPr="006E5A21">
              <w:rPr>
                <w:rFonts w:eastAsia="Calibri" w:cs="Arial"/>
                <w:bCs/>
                <w:i/>
                <w:sz w:val="20"/>
                <w:szCs w:val="20"/>
                <w:lang w:val="es-ES_tradnl"/>
              </w:rPr>
              <w:lastRenderedPageBreak/>
              <w:t xml:space="preserve">acuerdo con lo establecido en el artículo 43 de la Ley 60/2003, de 23 de diciembre, de Arbitraje, que será de aplicación en todo lo no previsto por el presente artículo.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i/>
                <w:sz w:val="20"/>
                <w:szCs w:val="20"/>
                <w:lang w:val="es-ES_tradnl"/>
              </w:rPr>
              <w:t>3. El acuerdo de mediación suscrito por el mediador y las partes, una vez que elevado a escritura pública u homologado por el Juez se constituya como título ejecutivo de acuerdo con lo dispuesto en la Ley 5/2012, de 6 de julio, de mediación en asuntos civiles y mercantiles</w:t>
            </w:r>
            <w:r w:rsidRPr="006E5A21">
              <w:rPr>
                <w:rFonts w:eastAsia="Calibri" w:cs="Arial"/>
                <w:bCs/>
                <w:sz w:val="20"/>
                <w:szCs w:val="20"/>
                <w:lang w:val="es-ES_tradnl"/>
              </w:rPr>
              <w:t>.”</w:t>
            </w:r>
          </w:p>
        </w:tc>
        <w:tc>
          <w:tcPr>
            <w:tcW w:w="1860" w:type="pct"/>
            <w:shd w:val="clear" w:color="auto" w:fill="auto"/>
            <w:vAlign w:val="center"/>
          </w:tcPr>
          <w:p w:rsidR="001D77C1" w:rsidRPr="00215383" w:rsidRDefault="00522FD3" w:rsidP="00867354">
            <w:pPr>
              <w:spacing w:beforeLines="60" w:before="144" w:afterLines="60" w:after="144" w:line="240" w:lineRule="auto"/>
              <w:jc w:val="both"/>
              <w:rPr>
                <w:rFonts w:eastAsia="Calibri" w:cs="Arial"/>
                <w:bCs/>
                <w:sz w:val="20"/>
                <w:szCs w:val="20"/>
                <w:highlight w:val="yellow"/>
                <w:lang w:val="es-ES_tradnl"/>
              </w:rPr>
            </w:pPr>
            <w:r>
              <w:rPr>
                <w:rFonts w:eastAsia="Calibri" w:cs="Arial"/>
                <w:bCs/>
                <w:sz w:val="20"/>
                <w:szCs w:val="20"/>
                <w:lang w:val="es-ES_tradnl"/>
              </w:rPr>
              <w:lastRenderedPageBreak/>
              <w:t>La resolución extrajudicial de conflictos encuentra en su propia normativa regulación suficiente para atender la necesidad a cubrir</w:t>
            </w:r>
            <w:r w:rsidR="00867354">
              <w:rPr>
                <w:rFonts w:eastAsia="Calibri" w:cs="Arial"/>
                <w:bCs/>
                <w:sz w:val="20"/>
                <w:szCs w:val="20"/>
                <w:lang w:val="es-ES_tradnl"/>
              </w:rPr>
              <w:t>, esto es, la</w:t>
            </w:r>
            <w:r>
              <w:rPr>
                <w:rFonts w:eastAsia="Calibri" w:cs="Arial"/>
                <w:bCs/>
                <w:sz w:val="20"/>
                <w:szCs w:val="20"/>
                <w:lang w:val="es-ES_tradnl"/>
              </w:rPr>
              <w:t xml:space="preserve"> protección de los secretos empresariales</w:t>
            </w:r>
            <w:r w:rsidR="00867354">
              <w:rPr>
                <w:rFonts w:eastAsia="Calibri" w:cs="Arial"/>
                <w:bCs/>
                <w:sz w:val="20"/>
                <w:szCs w:val="20"/>
                <w:lang w:val="es-ES_tradnl"/>
              </w:rPr>
              <w:t xml:space="preserve">. Por ello, atendiendo a razones de técnica legislativa, </w:t>
            </w:r>
            <w:r>
              <w:rPr>
                <w:rFonts w:eastAsia="Calibri" w:cs="Arial"/>
                <w:bCs/>
                <w:sz w:val="20"/>
                <w:szCs w:val="20"/>
                <w:lang w:val="es-ES_tradnl"/>
              </w:rPr>
              <w:t>no se considera necesari</w:t>
            </w:r>
            <w:r w:rsidR="006E5E4F">
              <w:rPr>
                <w:rFonts w:eastAsia="Calibri" w:cs="Arial"/>
                <w:bCs/>
                <w:sz w:val="20"/>
                <w:szCs w:val="20"/>
                <w:lang w:val="es-ES_tradnl"/>
              </w:rPr>
              <w:t xml:space="preserve">a </w:t>
            </w:r>
            <w:r>
              <w:rPr>
                <w:rFonts w:eastAsia="Calibri" w:cs="Arial"/>
                <w:bCs/>
                <w:sz w:val="20"/>
                <w:szCs w:val="20"/>
                <w:lang w:val="es-ES_tradnl"/>
              </w:rPr>
              <w:t>la adaptación sugerida.</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Nuevo art. 22</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Nuevo art. 22 sobre “</w:t>
            </w:r>
            <w:r w:rsidRPr="006E5A21">
              <w:rPr>
                <w:rFonts w:eastAsia="Calibri" w:cs="Arial"/>
                <w:b/>
                <w:bCs/>
                <w:i/>
                <w:sz w:val="20"/>
                <w:szCs w:val="20"/>
                <w:lang w:val="es-ES_tradnl"/>
              </w:rPr>
              <w:t>Cotitularidad</w:t>
            </w:r>
            <w:r w:rsidRPr="006E5A21">
              <w:rPr>
                <w:rFonts w:eastAsia="Calibri" w:cs="Arial"/>
                <w:b/>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w:t>
            </w:r>
            <w:r w:rsidRPr="006E5A21">
              <w:rPr>
                <w:rFonts w:eastAsia="Calibri" w:cs="Arial"/>
                <w:bCs/>
                <w:i/>
                <w:sz w:val="20"/>
                <w:szCs w:val="20"/>
                <w:lang w:val="es-ES_tradnl"/>
              </w:rPr>
              <w:t>El secreto podrá pertenecer pro indiviso a varias personas. La comunidad resultante se regirá por lo acordado por las partes, en su defecto por lo dispuesto en este apartado y en último término por las normas de derecho común sobre la comunidad de bienes.</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Cada partícipe podrá explotar el secreto empresarial previa notificación a los demás cotitulares, y realizar los actos necesarios para la conservación del secreto empresarial como tal.</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Cada partícipe podrá por sí solo ejercitar las acciones civiles y criminales en defensa del secreto, pero deberá notificarlo a los demás comuneros, a fin de que éstos puedan sumarse a las mismas y para que contribuyan al pago de los gastos habidos.</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 xml:space="preserve">La concesión de licencia a un tercero para explotar el secreto empresarial deberá ser otorgada conjuntamente por todos los partícipes, a no ser que el órgano jurisdiccional por razones de equidad, dadas las circunstancias del caso, faculte a alguno de </w:t>
            </w:r>
            <w:r w:rsidRPr="006E5A21">
              <w:rPr>
                <w:rFonts w:eastAsia="Calibri" w:cs="Arial"/>
                <w:bCs/>
                <w:i/>
                <w:sz w:val="20"/>
                <w:szCs w:val="20"/>
                <w:lang w:val="es-ES_tradnl"/>
              </w:rPr>
              <w:lastRenderedPageBreak/>
              <w:t>ellos para otorgar la concesión mencionada.</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En caso de cesión del secreto de una participación, los partícipes podrán ejercitar el derecho de tanteo en el plazo de un mes a contar desde el momento en que fueran notificados del propósito y condiciones en que se llevaría a cabo la cesión.</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i/>
                <w:sz w:val="20"/>
                <w:szCs w:val="20"/>
                <w:lang w:val="es-ES_tradnl"/>
              </w:rPr>
              <w:t>A falta de aviso previo o si la cesión se hubiere realizado de forma distinta a lo prevenido en aquél, los partícipes podrán ejercitar el derecho de retracto, en el plazo de dos meses desde la fecha del contrato de cesión</w:t>
            </w:r>
            <w:r w:rsidRPr="006E5A21">
              <w:rPr>
                <w:rFonts w:eastAsia="Calibri" w:cs="Arial"/>
                <w:bCs/>
                <w:sz w:val="20"/>
                <w:szCs w:val="20"/>
                <w:lang w:val="es-ES_tradnl"/>
              </w:rPr>
              <w:t>.”</w:t>
            </w:r>
          </w:p>
        </w:tc>
        <w:tc>
          <w:tcPr>
            <w:tcW w:w="1860" w:type="pct"/>
            <w:shd w:val="clear" w:color="auto" w:fill="auto"/>
            <w:vAlign w:val="center"/>
          </w:tcPr>
          <w:p w:rsidR="001D77C1" w:rsidRPr="00CD76A4" w:rsidRDefault="00CD76A4" w:rsidP="00CD76A4">
            <w:pPr>
              <w:spacing w:beforeLines="60" w:before="144" w:afterLines="60" w:after="144" w:line="240" w:lineRule="auto"/>
              <w:jc w:val="both"/>
              <w:rPr>
                <w:rFonts w:eastAsia="Calibri" w:cs="Arial"/>
                <w:bCs/>
                <w:sz w:val="20"/>
                <w:szCs w:val="20"/>
                <w:lang w:val="es-ES_tradnl"/>
              </w:rPr>
            </w:pPr>
            <w:r>
              <w:rPr>
                <w:rFonts w:eastAsia="Calibri" w:cs="Arial"/>
                <w:b/>
                <w:bCs/>
                <w:sz w:val="20"/>
                <w:szCs w:val="20"/>
                <w:lang w:val="es-ES_tradnl"/>
              </w:rPr>
              <w:lastRenderedPageBreak/>
              <w:t xml:space="preserve">SE ACEPTA </w:t>
            </w:r>
            <w:r w:rsidRPr="00CD76A4">
              <w:rPr>
                <w:rFonts w:eastAsia="Calibri" w:cs="Arial"/>
                <w:bCs/>
                <w:sz w:val="20"/>
                <w:szCs w:val="20"/>
                <w:lang w:val="es-ES_tradnl"/>
              </w:rPr>
              <w:t xml:space="preserve">si bien con otra ubicación </w:t>
            </w:r>
            <w:r>
              <w:rPr>
                <w:rFonts w:eastAsia="Calibri" w:cs="Arial"/>
                <w:bCs/>
                <w:sz w:val="20"/>
                <w:szCs w:val="20"/>
                <w:lang w:val="es-ES_tradnl"/>
              </w:rPr>
              <w:t>estimada</w:t>
            </w:r>
            <w:r w:rsidRPr="00CD76A4">
              <w:rPr>
                <w:rFonts w:eastAsia="Calibri" w:cs="Arial"/>
                <w:bCs/>
                <w:sz w:val="20"/>
                <w:szCs w:val="20"/>
                <w:lang w:val="es-ES_tradnl"/>
              </w:rPr>
              <w:t xml:space="preserve"> pre</w:t>
            </w:r>
            <w:r>
              <w:rPr>
                <w:rFonts w:eastAsia="Calibri" w:cs="Arial"/>
                <w:bCs/>
                <w:sz w:val="20"/>
                <w:szCs w:val="20"/>
                <w:lang w:val="es-ES_tradnl"/>
              </w:rPr>
              <w:t>ferible (nuevo Capítulo III) y con los ajustes considerados pertinentes.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Nuevo art. 23</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Nuevo art. 23 sobre “</w:t>
            </w:r>
            <w:r w:rsidRPr="006E5A21">
              <w:rPr>
                <w:rFonts w:eastAsia="Calibri" w:cs="Arial"/>
                <w:b/>
                <w:bCs/>
                <w:i/>
                <w:sz w:val="20"/>
                <w:szCs w:val="20"/>
                <w:lang w:val="es-ES_tradnl"/>
              </w:rPr>
              <w:t>Transferencias, licencias y gravámenes del secreto empresarial”</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w:t>
            </w:r>
            <w:r w:rsidRPr="006E5A21">
              <w:rPr>
                <w:rFonts w:eastAsia="Calibri" w:cs="Arial"/>
                <w:bCs/>
                <w:i/>
                <w:sz w:val="20"/>
                <w:szCs w:val="20"/>
                <w:lang w:val="es-ES_tradnl"/>
              </w:rPr>
              <w:t>El secreto empresarial es transmisible y podrá darse en garantía o ser objeto de otros derechos reales, licencias, opciones de compra, embargos, otros negocios jurídicos.</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i/>
                <w:sz w:val="20"/>
                <w:szCs w:val="20"/>
                <w:lang w:val="es-ES_tradnl"/>
              </w:rPr>
              <w:t xml:space="preserve">Lo anteriormente mencionado se entiende sin perjuicio de las normas referidas al contenido y límites de los contratos de cesión y licencia sobre bienes inmateriales impuestos en otras Leyes nacionales que resulten aplicables, o de la aplicación, por los órganos nacionales o de la Unión Europea correspondientes, de las disposiciones establecidas en los reglamentos de la Unión Europea relativos a la aplicación del apartado 3 del artículo 101 del Tratado de Funcionamiento de la Unión Europea a determinadas categorías de acuerdos de transferencia de tecnología cuando el secreto empresarial haga referencia expresa a la tecnología. Los secretos empresariales pueden ser objeto de licencias para todo el territorio nacional o para una parte del mismo. Las licencias </w:t>
            </w:r>
            <w:r w:rsidRPr="006E5A21">
              <w:rPr>
                <w:rFonts w:eastAsia="Calibri" w:cs="Arial"/>
                <w:bCs/>
                <w:i/>
                <w:sz w:val="20"/>
                <w:szCs w:val="20"/>
                <w:lang w:val="es-ES_tradnl"/>
              </w:rPr>
              <w:lastRenderedPageBreak/>
              <w:t>pueden ser exclusivas o no exclusivas</w:t>
            </w:r>
            <w:r w:rsidRPr="006E5A21">
              <w:rPr>
                <w:rFonts w:eastAsia="Calibri" w:cs="Arial"/>
                <w:bCs/>
                <w:sz w:val="20"/>
                <w:szCs w:val="20"/>
                <w:lang w:val="es-ES_tradnl"/>
              </w:rPr>
              <w:t>.”</w:t>
            </w:r>
          </w:p>
        </w:tc>
        <w:tc>
          <w:tcPr>
            <w:tcW w:w="1860" w:type="pct"/>
            <w:shd w:val="clear" w:color="auto" w:fill="auto"/>
            <w:vAlign w:val="center"/>
          </w:tcPr>
          <w:p w:rsidR="001D77C1" w:rsidRPr="00215383" w:rsidRDefault="00CD76A4" w:rsidP="00CD76A4">
            <w:pPr>
              <w:spacing w:beforeLines="60" w:before="144" w:afterLines="60" w:after="144" w:line="240" w:lineRule="auto"/>
              <w:jc w:val="both"/>
              <w:rPr>
                <w:rFonts w:eastAsia="Calibri" w:cs="Arial"/>
                <w:bCs/>
                <w:sz w:val="20"/>
                <w:szCs w:val="20"/>
                <w:highlight w:val="yellow"/>
                <w:lang w:val="es-ES_tradnl"/>
              </w:rPr>
            </w:pPr>
            <w:r>
              <w:rPr>
                <w:rFonts w:eastAsia="Calibri" w:cs="Arial"/>
                <w:b/>
                <w:bCs/>
                <w:sz w:val="20"/>
                <w:szCs w:val="20"/>
                <w:lang w:val="es-ES_tradnl"/>
              </w:rPr>
              <w:lastRenderedPageBreak/>
              <w:t xml:space="preserve">SE ACEPTA </w:t>
            </w:r>
            <w:r w:rsidRPr="00CD76A4">
              <w:rPr>
                <w:rFonts w:eastAsia="Calibri" w:cs="Arial"/>
                <w:bCs/>
                <w:sz w:val="20"/>
                <w:szCs w:val="20"/>
                <w:lang w:val="es-ES_tradnl"/>
              </w:rPr>
              <w:t xml:space="preserve">si bien con otra ubicación </w:t>
            </w:r>
            <w:r>
              <w:rPr>
                <w:rFonts w:eastAsia="Calibri" w:cs="Arial"/>
                <w:bCs/>
                <w:sz w:val="20"/>
                <w:szCs w:val="20"/>
                <w:lang w:val="es-ES_tradnl"/>
              </w:rPr>
              <w:t xml:space="preserve">estimada </w:t>
            </w:r>
            <w:r w:rsidRPr="00CD76A4">
              <w:rPr>
                <w:rFonts w:eastAsia="Calibri" w:cs="Arial"/>
                <w:bCs/>
                <w:sz w:val="20"/>
                <w:szCs w:val="20"/>
                <w:lang w:val="es-ES_tradnl"/>
              </w:rPr>
              <w:t>pre</w:t>
            </w:r>
            <w:r>
              <w:rPr>
                <w:rFonts w:eastAsia="Calibri" w:cs="Arial"/>
                <w:bCs/>
                <w:sz w:val="20"/>
                <w:szCs w:val="20"/>
                <w:lang w:val="es-ES_tradnl"/>
              </w:rPr>
              <w:t>ferible (nuevo Capítulo III) y con los ajustes considerados pertinentes.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Nuevo art. 24</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Nuevo art. 24 sobre “</w:t>
            </w:r>
            <w:r w:rsidRPr="006E5A21">
              <w:rPr>
                <w:rFonts w:eastAsia="Calibri" w:cs="Arial"/>
                <w:b/>
                <w:bCs/>
                <w:i/>
                <w:sz w:val="20"/>
                <w:szCs w:val="20"/>
                <w:lang w:val="es-ES_tradnl"/>
              </w:rPr>
              <w:t>Licencias de secretos empresariales</w:t>
            </w:r>
            <w:r w:rsidRPr="006E5A21">
              <w:rPr>
                <w:rFonts w:eastAsia="Calibri" w:cs="Arial"/>
                <w:b/>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w:t>
            </w:r>
            <w:r w:rsidRPr="006E5A21">
              <w:rPr>
                <w:rFonts w:eastAsia="Calibri" w:cs="Arial"/>
                <w:bCs/>
                <w:i/>
                <w:sz w:val="20"/>
                <w:szCs w:val="20"/>
                <w:lang w:val="es-ES_tradnl"/>
              </w:rPr>
              <w:t xml:space="preserve">Los titulares de licencias contractuales no podrán cederlas a terceros, ni conceder </w:t>
            </w:r>
            <w:proofErr w:type="spellStart"/>
            <w:r w:rsidRPr="006E5A21">
              <w:rPr>
                <w:rFonts w:eastAsia="Calibri" w:cs="Arial"/>
                <w:bCs/>
                <w:i/>
                <w:sz w:val="20"/>
                <w:szCs w:val="20"/>
                <w:lang w:val="es-ES_tradnl"/>
              </w:rPr>
              <w:t>sublicencias</w:t>
            </w:r>
            <w:proofErr w:type="spellEnd"/>
            <w:r w:rsidRPr="006E5A21">
              <w:rPr>
                <w:rFonts w:eastAsia="Calibri" w:cs="Arial"/>
                <w:bCs/>
                <w:i/>
                <w:sz w:val="20"/>
                <w:szCs w:val="20"/>
                <w:lang w:val="es-ES_tradnl"/>
              </w:rPr>
              <w:t>, a no ser que se hubiere convenido lo contrario.</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 xml:space="preserve">Salvo pacto en contrario, el titular de una licencia contractual tendrá derecho a realizar todos los actos que integran la explotación del secreto empresarial, en todas sus aplicaciones, en todo el territorio nacional y durante el tiempo que se estime de forma contractual. </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i/>
                <w:sz w:val="20"/>
                <w:szCs w:val="20"/>
                <w:lang w:val="es-ES_tradnl"/>
              </w:rPr>
              <w:t>Se presumirá que la licencia es no exclusiva y que el licenciante puede otorgar otras licencias o reservarse el derecho de explotación del secreto empresarial.</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i/>
                <w:sz w:val="20"/>
                <w:szCs w:val="20"/>
                <w:lang w:val="es-ES_tradnl"/>
              </w:rPr>
              <w:t>La licencia exclusiva impide el otorgamiento de otras licencias y el licenciante sólo podrá explotar el secreto empresarial, si en el contrato se hubiera reservado expresamente ese derecho</w:t>
            </w:r>
            <w:r w:rsidRPr="006E5A21">
              <w:rPr>
                <w:rFonts w:eastAsia="Calibri" w:cs="Arial"/>
                <w:bCs/>
                <w:sz w:val="20"/>
                <w:szCs w:val="20"/>
                <w:lang w:val="es-ES_tradnl"/>
              </w:rPr>
              <w:t>.”</w:t>
            </w:r>
          </w:p>
        </w:tc>
        <w:tc>
          <w:tcPr>
            <w:tcW w:w="1860" w:type="pct"/>
            <w:shd w:val="clear" w:color="auto" w:fill="auto"/>
            <w:vAlign w:val="center"/>
          </w:tcPr>
          <w:p w:rsidR="001D77C1" w:rsidRPr="006E5A21" w:rsidRDefault="00CD76A4" w:rsidP="001D77C1">
            <w:pPr>
              <w:spacing w:beforeLines="60" w:before="144" w:afterLines="60" w:after="144" w:line="240" w:lineRule="auto"/>
              <w:jc w:val="both"/>
              <w:rPr>
                <w:rFonts w:eastAsia="Calibri" w:cs="Arial"/>
                <w:bCs/>
                <w:sz w:val="20"/>
                <w:szCs w:val="20"/>
                <w:lang w:val="es-ES_tradnl"/>
              </w:rPr>
            </w:pPr>
            <w:r>
              <w:rPr>
                <w:rFonts w:eastAsia="Calibri" w:cs="Arial"/>
                <w:b/>
                <w:bCs/>
                <w:sz w:val="20"/>
                <w:szCs w:val="20"/>
                <w:lang w:val="es-ES_tradnl"/>
              </w:rPr>
              <w:t xml:space="preserve">SE ACEPTA </w:t>
            </w:r>
            <w:r w:rsidRPr="00CD76A4">
              <w:rPr>
                <w:rFonts w:eastAsia="Calibri" w:cs="Arial"/>
                <w:bCs/>
                <w:sz w:val="20"/>
                <w:szCs w:val="20"/>
                <w:lang w:val="es-ES_tradnl"/>
              </w:rPr>
              <w:t xml:space="preserve">si bien con otra ubicación </w:t>
            </w:r>
            <w:r>
              <w:rPr>
                <w:rFonts w:eastAsia="Calibri" w:cs="Arial"/>
                <w:bCs/>
                <w:sz w:val="20"/>
                <w:szCs w:val="20"/>
                <w:lang w:val="es-ES_tradnl"/>
              </w:rPr>
              <w:t>estimada</w:t>
            </w:r>
            <w:r w:rsidRPr="00CD76A4">
              <w:rPr>
                <w:rFonts w:eastAsia="Calibri" w:cs="Arial"/>
                <w:bCs/>
                <w:sz w:val="20"/>
                <w:szCs w:val="20"/>
                <w:lang w:val="es-ES_tradnl"/>
              </w:rPr>
              <w:t xml:space="preserve"> pre</w:t>
            </w:r>
            <w:r>
              <w:rPr>
                <w:rFonts w:eastAsia="Calibri" w:cs="Arial"/>
                <w:bCs/>
                <w:sz w:val="20"/>
                <w:szCs w:val="20"/>
                <w:lang w:val="es-ES_tradnl"/>
              </w:rPr>
              <w:t>ferible (nuevo Capítulo III) y con los ajustes considerados pertinentes.</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Nuevo art. 25</w:t>
            </w:r>
          </w:p>
        </w:tc>
        <w:tc>
          <w:tcPr>
            <w:tcW w:w="641" w:type="pct"/>
            <w:shd w:val="clear" w:color="auto" w:fill="auto"/>
            <w:vAlign w:val="center"/>
          </w:tcPr>
          <w:p w:rsidR="001D77C1" w:rsidRPr="006E5A21" w:rsidRDefault="001D77C1" w:rsidP="00BB58DC">
            <w:pPr>
              <w:spacing w:beforeLines="60" w:before="144" w:afterLines="60" w:after="144"/>
              <w:jc w:val="center"/>
              <w:rPr>
                <w:rFonts w:eastAsia="Times New Roman" w:cs="Times New Roman"/>
                <w:b/>
                <w:color w:val="000000"/>
                <w:sz w:val="20"/>
                <w:szCs w:val="20"/>
              </w:rPr>
            </w:pPr>
            <w:r w:rsidRPr="006E5A21">
              <w:rPr>
                <w:rFonts w:eastAsia="Times New Roman" w:cs="Times New Roman"/>
                <w:b/>
                <w:bCs/>
                <w:sz w:val="20"/>
                <w:szCs w:val="20"/>
              </w:rPr>
              <w:t>LES España-Portugal</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Nuevo art. 25 sobre “</w:t>
            </w:r>
            <w:r w:rsidRPr="006E5A21">
              <w:rPr>
                <w:rFonts w:eastAsia="Calibri" w:cs="Arial"/>
                <w:b/>
                <w:bCs/>
                <w:i/>
                <w:sz w:val="20"/>
                <w:szCs w:val="20"/>
                <w:lang w:val="es-ES_tradnl"/>
              </w:rPr>
              <w:t>Responsabilidad del transmitente y licenciante del secreto empresarial</w:t>
            </w:r>
            <w:r w:rsidRPr="006E5A21">
              <w:rPr>
                <w:rFonts w:eastAsia="Calibri" w:cs="Arial"/>
                <w:b/>
                <w:bCs/>
                <w:sz w:val="20"/>
                <w:szCs w:val="20"/>
                <w:lang w:val="es-ES_tradnl"/>
              </w:rPr>
              <w:t>”</w:t>
            </w:r>
          </w:p>
          <w:p w:rsidR="001D77C1" w:rsidRPr="006E5A21" w:rsidRDefault="001D77C1" w:rsidP="001D77C1">
            <w:pPr>
              <w:spacing w:beforeLines="60" w:before="144" w:afterLines="60" w:after="144" w:line="240" w:lineRule="auto"/>
              <w:jc w:val="both"/>
              <w:rPr>
                <w:rFonts w:eastAsia="Calibri" w:cs="Arial"/>
                <w:bCs/>
                <w:i/>
                <w:sz w:val="20"/>
                <w:szCs w:val="20"/>
                <w:lang w:val="es-ES_tradnl"/>
              </w:rPr>
            </w:pPr>
            <w:r w:rsidRPr="006E5A21">
              <w:rPr>
                <w:rFonts w:eastAsia="Calibri" w:cs="Arial"/>
                <w:bCs/>
                <w:sz w:val="20"/>
                <w:szCs w:val="20"/>
                <w:lang w:val="es-ES_tradnl"/>
              </w:rPr>
              <w:t>“</w:t>
            </w:r>
            <w:r w:rsidRPr="006E5A21">
              <w:rPr>
                <w:rFonts w:eastAsia="Calibri" w:cs="Arial"/>
                <w:bCs/>
                <w:i/>
                <w:sz w:val="20"/>
                <w:szCs w:val="20"/>
                <w:lang w:val="es-ES_tradnl"/>
              </w:rPr>
              <w:t xml:space="preserve">Quien transmita a título oneroso un secreto empresarial u otorgue una licencia sobre el mismo responderá, salvo pacto en contrario, si posteriormente se declarara que carecía de la titularidad o de las facultades necesarias para la realización del negocio de que se trate. Cuando se declare su nulidad del </w:t>
            </w:r>
            <w:r w:rsidRPr="006E5A21">
              <w:rPr>
                <w:rFonts w:eastAsia="Calibri" w:cs="Arial"/>
                <w:bCs/>
                <w:i/>
                <w:sz w:val="20"/>
                <w:szCs w:val="20"/>
                <w:lang w:val="es-ES_tradnl"/>
              </w:rPr>
              <w:lastRenderedPageBreak/>
              <w:t>contrato de cesión o de licencia sobre el secreto empresarial será susceptible de la indemnización por daños y perjuicios causados al titular del secreto empresarial.</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i/>
                <w:sz w:val="20"/>
                <w:szCs w:val="20"/>
                <w:lang w:val="es-ES_tradnl"/>
              </w:rPr>
              <w:t>El transmitente o licenciante responderá siempre, cuando hubiere actuado de mala fe</w:t>
            </w:r>
            <w:r w:rsidRPr="006E5A21">
              <w:rPr>
                <w:rFonts w:eastAsia="Calibri" w:cs="Arial"/>
                <w:bCs/>
                <w:sz w:val="20"/>
                <w:szCs w:val="20"/>
                <w:lang w:val="es-ES_tradnl"/>
              </w:rPr>
              <w:t>.”</w:t>
            </w:r>
          </w:p>
        </w:tc>
        <w:tc>
          <w:tcPr>
            <w:tcW w:w="1860" w:type="pct"/>
            <w:shd w:val="clear" w:color="auto" w:fill="auto"/>
            <w:vAlign w:val="center"/>
          </w:tcPr>
          <w:p w:rsidR="001D77C1" w:rsidRPr="006E5A21" w:rsidRDefault="00CD76A4" w:rsidP="001D77C1">
            <w:pPr>
              <w:spacing w:beforeLines="60" w:before="144" w:afterLines="60" w:after="144" w:line="240" w:lineRule="auto"/>
              <w:jc w:val="both"/>
              <w:rPr>
                <w:rFonts w:eastAsia="Calibri" w:cs="Arial"/>
                <w:bCs/>
                <w:sz w:val="20"/>
                <w:szCs w:val="20"/>
                <w:lang w:val="es-ES_tradnl"/>
              </w:rPr>
            </w:pPr>
            <w:r>
              <w:rPr>
                <w:rFonts w:eastAsia="Calibri" w:cs="Arial"/>
                <w:b/>
                <w:bCs/>
                <w:sz w:val="20"/>
                <w:szCs w:val="20"/>
                <w:lang w:val="es-ES_tradnl"/>
              </w:rPr>
              <w:lastRenderedPageBreak/>
              <w:t xml:space="preserve">SE ACEPTA </w:t>
            </w:r>
            <w:r w:rsidRPr="00CD76A4">
              <w:rPr>
                <w:rFonts w:eastAsia="Calibri" w:cs="Arial"/>
                <w:bCs/>
                <w:sz w:val="20"/>
                <w:szCs w:val="20"/>
                <w:lang w:val="es-ES_tradnl"/>
              </w:rPr>
              <w:t xml:space="preserve">si bien con otra ubicación </w:t>
            </w:r>
            <w:r>
              <w:rPr>
                <w:rFonts w:eastAsia="Calibri" w:cs="Arial"/>
                <w:bCs/>
                <w:sz w:val="20"/>
                <w:szCs w:val="20"/>
                <w:lang w:val="es-ES_tradnl"/>
              </w:rPr>
              <w:t>estimada</w:t>
            </w:r>
            <w:r w:rsidRPr="00CD76A4">
              <w:rPr>
                <w:rFonts w:eastAsia="Calibri" w:cs="Arial"/>
                <w:bCs/>
                <w:sz w:val="20"/>
                <w:szCs w:val="20"/>
                <w:lang w:val="es-ES_tradnl"/>
              </w:rPr>
              <w:t xml:space="preserve"> pre</w:t>
            </w:r>
            <w:r>
              <w:rPr>
                <w:rFonts w:eastAsia="Calibri" w:cs="Arial"/>
                <w:bCs/>
                <w:sz w:val="20"/>
                <w:szCs w:val="20"/>
                <w:lang w:val="es-ES_tradnl"/>
              </w:rPr>
              <w:t>ferible (nuevo Capítulo III) y con los ajustes considerados pertinentes.</w:t>
            </w:r>
            <w:r w:rsidR="001D77C1" w:rsidRPr="006E5A21">
              <w:rPr>
                <w:rFonts w:eastAsia="Calibri" w:cs="Arial"/>
                <w:bCs/>
                <w:sz w:val="20"/>
                <w:szCs w:val="20"/>
                <w:lang w:val="es-ES_tradnl"/>
              </w:rPr>
              <w:t xml:space="preserve"> </w:t>
            </w:r>
          </w:p>
        </w:tc>
      </w:tr>
      <w:tr w:rsidR="001D77C1" w:rsidRPr="006E5A21" w:rsidTr="00343086">
        <w:trPr>
          <w:trHeight w:val="738"/>
        </w:trPr>
        <w:tc>
          <w:tcPr>
            <w:tcW w:w="641" w:type="pct"/>
            <w:shd w:val="clear" w:color="auto" w:fill="auto"/>
            <w:vAlign w:val="center"/>
          </w:tcPr>
          <w:p w:rsidR="001D77C1" w:rsidRPr="006E5A21" w:rsidRDefault="001D77C1" w:rsidP="001D77C1">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lastRenderedPageBreak/>
              <w:t>DF XX</w:t>
            </w:r>
          </w:p>
        </w:tc>
        <w:tc>
          <w:tcPr>
            <w:tcW w:w="641" w:type="pct"/>
            <w:shd w:val="clear" w:color="auto" w:fill="auto"/>
            <w:vAlign w:val="center"/>
          </w:tcPr>
          <w:p w:rsidR="001D77C1" w:rsidRPr="006E5A21" w:rsidRDefault="001D77C1" w:rsidP="001D77C1">
            <w:pPr>
              <w:spacing w:beforeLines="60" w:before="144" w:afterLines="60" w:after="144"/>
              <w:rPr>
                <w:rFonts w:eastAsia="Times New Roman" w:cs="Times New Roman"/>
                <w:b/>
                <w:color w:val="000000"/>
                <w:sz w:val="20"/>
                <w:szCs w:val="20"/>
              </w:rPr>
            </w:pPr>
            <w:r w:rsidRPr="006E5A21">
              <w:rPr>
                <w:rFonts w:eastAsia="Times New Roman" w:cs="Times New Roman"/>
                <w:b/>
                <w:bCs/>
                <w:sz w:val="20"/>
                <w:szCs w:val="20"/>
              </w:rPr>
              <w:t>CEOE</w:t>
            </w:r>
          </w:p>
        </w:tc>
        <w:tc>
          <w:tcPr>
            <w:tcW w:w="1859"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t>DF XX</w:t>
            </w:r>
          </w:p>
          <w:p w:rsidR="001D77C1" w:rsidRPr="006E5A21" w:rsidRDefault="001D77C1" w:rsidP="001D77C1">
            <w:pPr>
              <w:contextualSpacing/>
              <w:jc w:val="both"/>
              <w:rPr>
                <w:rFonts w:eastAsia="Calibri" w:cs="Times New Roman"/>
                <w:sz w:val="20"/>
                <w:szCs w:val="20"/>
              </w:rPr>
            </w:pPr>
            <w:r w:rsidRPr="006E5A21">
              <w:rPr>
                <w:rFonts w:eastAsia="Calibri" w:cs="Times New Roman"/>
                <w:sz w:val="20"/>
                <w:szCs w:val="20"/>
              </w:rPr>
              <w:t>La CEOE propone introducir una DF por la que se modifique el art. 124 de la Ley de Patentes sobre la “Práctica de diligencias” en el que se añadan dos nuevos apartados por entender que en muchas ocasiones, la presencia del Juez en las diligencias no es necesaria ya que sólo es necesaria su intervención, a posteriori, cuando se trata de revisar el informe preparado por el perito para decidir si hay o no indicios de ilicitud. De hecho, en la práctica, no es extraño que el Juez delegue en el Letrado de la Administración de Justicia o, incluso, en algún oficial de la oficina judicial. Por ello, se hace recomendable que, salvo que su presencia sea necesaria, pueda el Juez delegarla en otros funcionarios, lo que, además, redunda en una mayor eficiencia para acordar la práctica de las diligencias (pues no dependen de la agenda del titular del Juzgado) y en una menor afectación del funcionamiento del Juzgado.</w:t>
            </w:r>
          </w:p>
          <w:p w:rsidR="001D77C1" w:rsidRPr="006E5A21" w:rsidRDefault="001D77C1" w:rsidP="001D77C1">
            <w:pPr>
              <w:contextualSpacing/>
              <w:jc w:val="both"/>
              <w:rPr>
                <w:rFonts w:eastAsia="Calibri" w:cs="Times New Roman"/>
                <w:sz w:val="20"/>
                <w:szCs w:val="20"/>
              </w:rPr>
            </w:pPr>
          </w:p>
          <w:p w:rsidR="001D77C1" w:rsidRPr="006E5A21" w:rsidRDefault="001D77C1" w:rsidP="001D77C1">
            <w:pPr>
              <w:contextualSpacing/>
              <w:jc w:val="both"/>
              <w:rPr>
                <w:rFonts w:eastAsia="Calibri" w:cs="Times New Roman"/>
                <w:sz w:val="20"/>
                <w:szCs w:val="20"/>
              </w:rPr>
            </w:pPr>
            <w:r w:rsidRPr="006E5A21">
              <w:rPr>
                <w:rFonts w:eastAsia="Calibri" w:cs="Times New Roman"/>
                <w:sz w:val="20"/>
                <w:szCs w:val="20"/>
              </w:rPr>
              <w:t xml:space="preserve">Asimismo, es relativamente frecuente que las diligencias deban practicarse en diversas ubicaciones (por ejemplo, porque hay varios demandados o porque el demandado tiene </w:t>
            </w:r>
            <w:r w:rsidRPr="006E5A21">
              <w:rPr>
                <w:rFonts w:eastAsia="Calibri" w:cs="Times New Roman"/>
                <w:sz w:val="20"/>
                <w:szCs w:val="20"/>
              </w:rPr>
              <w:lastRenderedPageBreak/>
              <w:t xml:space="preserve">varias ubicaciones pero se desconoce en cuál se desarrolla la actividad relevante). En esos casos, el éxito de las diligencias requiere que se practiquen a la vez, para poner sobre aviso a los sujetos implicados. La experiencia demuestra que, en estos supuestos, la adecuada práctica de las diligencias se ve imposibilitada o bien ralentizada sustancialmente por la necesidad de acudir al auxilio judicial por la vía de exhorto, lo que dificulta la coordinación y tiene el inconveniente de la menor especialización (e interés) del juzgado exhortado. </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Precisamente por ello, se hace necesaria una habilitación legal para que el Juez pueda delegar su presencia (o bien recurrir a la ayuda) de otros funcionarios de la oficina judicial, reservándose él la labor de coordinación de la operación global. Asimismo, en estos casos, es oportuno que el perito judicial pueda, a su vez, designar uno o varios auxiliares que acudan a la práctica de las diligencias en las instalaciones o ubicaciones distintas de aquellas a las que acuda el perito principal.</w:t>
            </w:r>
          </w:p>
        </w:tc>
        <w:tc>
          <w:tcPr>
            <w:tcW w:w="1860" w:type="pct"/>
            <w:shd w:val="clear" w:color="auto" w:fill="auto"/>
            <w:vAlign w:val="center"/>
          </w:tcPr>
          <w:p w:rsidR="001D77C1" w:rsidRPr="006E5A21" w:rsidRDefault="001D77C1" w:rsidP="001D77C1">
            <w:pPr>
              <w:spacing w:beforeLines="60" w:before="144" w:afterLines="60" w:after="144" w:line="240" w:lineRule="auto"/>
              <w:jc w:val="both"/>
              <w:rPr>
                <w:rFonts w:eastAsia="Calibri" w:cs="Arial"/>
                <w:b/>
                <w:bCs/>
                <w:sz w:val="20"/>
                <w:szCs w:val="20"/>
                <w:lang w:val="es-ES_tradnl"/>
              </w:rPr>
            </w:pPr>
            <w:r w:rsidRPr="006E5A21">
              <w:rPr>
                <w:rFonts w:eastAsia="Calibri" w:cs="Arial"/>
                <w:b/>
                <w:bCs/>
                <w:sz w:val="20"/>
                <w:szCs w:val="20"/>
                <w:lang w:val="es-ES_tradnl"/>
              </w:rPr>
              <w:lastRenderedPageBreak/>
              <w:t>DF XX</w:t>
            </w:r>
          </w:p>
          <w:p w:rsidR="001D77C1" w:rsidRPr="006E5A21" w:rsidRDefault="001D77C1" w:rsidP="001D77C1">
            <w:pPr>
              <w:spacing w:beforeLines="60" w:before="144" w:afterLines="60" w:after="144" w:line="240" w:lineRule="auto"/>
              <w:jc w:val="both"/>
              <w:rPr>
                <w:rFonts w:eastAsia="Calibri" w:cs="Arial"/>
                <w:bCs/>
                <w:sz w:val="20"/>
                <w:szCs w:val="20"/>
                <w:lang w:val="es-ES_tradnl"/>
              </w:rPr>
            </w:pPr>
            <w:r w:rsidRPr="006E5A21">
              <w:rPr>
                <w:rFonts w:eastAsia="Calibri" w:cs="Arial"/>
                <w:bCs/>
                <w:sz w:val="20"/>
                <w:szCs w:val="20"/>
                <w:lang w:val="es-ES_tradnl"/>
              </w:rPr>
              <w:t>No cabe confundir el régimen de secretos empresariales que regula el APL con el de patentes pues son ámbitos, que si bien coincidentes en parte, pertenecen a esferas diferentes. De ahí que no proceda modificar el régimen de patentes mediante este APL cuyo objetivo no es otro que el de transponer la correspondiente directiva y no la de establecer un nuevo régimen jurídico-procesal para las patentes.</w:t>
            </w:r>
          </w:p>
        </w:tc>
      </w:tr>
    </w:tbl>
    <w:p w:rsidR="001D77C1" w:rsidRDefault="001D77C1" w:rsidP="001D77C1">
      <w:pPr>
        <w:spacing w:before="240" w:after="240"/>
        <w:jc w:val="center"/>
        <w:rPr>
          <w:rFonts w:ascii="Arial" w:hAnsi="Arial" w:cs="Arial"/>
          <w:sz w:val="24"/>
          <w:szCs w:val="24"/>
        </w:rPr>
      </w:pPr>
    </w:p>
    <w:p w:rsidR="001D77C1" w:rsidRDefault="001D77C1">
      <w:pPr>
        <w:rPr>
          <w:rFonts w:ascii="Arial" w:hAnsi="Arial" w:cs="Arial"/>
          <w:sz w:val="24"/>
          <w:szCs w:val="24"/>
        </w:rPr>
      </w:pPr>
      <w:r>
        <w:rPr>
          <w:rFonts w:ascii="Arial" w:hAnsi="Arial" w:cs="Arial"/>
          <w:sz w:val="24"/>
          <w:szCs w:val="24"/>
        </w:rPr>
        <w:br w:type="page"/>
      </w:r>
    </w:p>
    <w:p w:rsidR="00ED03E1" w:rsidRPr="002F7F85" w:rsidRDefault="00ED03E1" w:rsidP="007744ED">
      <w:pPr>
        <w:pStyle w:val="Ttulo1"/>
        <w:rPr>
          <w:szCs w:val="24"/>
        </w:rPr>
      </w:pPr>
      <w:bookmarkStart w:id="29" w:name="_Toc511982537"/>
      <w:r w:rsidRPr="002F7F85">
        <w:rPr>
          <w:szCs w:val="24"/>
        </w:rPr>
        <w:lastRenderedPageBreak/>
        <w:t>ANEXO III</w:t>
      </w:r>
      <w:bookmarkEnd w:id="29"/>
    </w:p>
    <w:p w:rsidR="00ED03E1" w:rsidRDefault="00ED03E1" w:rsidP="00ED03E1">
      <w:pPr>
        <w:spacing w:before="240" w:after="240"/>
        <w:jc w:val="center"/>
        <w:rPr>
          <w:rFonts w:ascii="Arial" w:hAnsi="Arial" w:cs="Arial"/>
          <w:b/>
          <w:sz w:val="24"/>
          <w:szCs w:val="24"/>
          <w:u w:val="single"/>
        </w:rPr>
      </w:pPr>
      <w:r w:rsidRPr="001D77C1">
        <w:rPr>
          <w:rFonts w:ascii="Arial" w:hAnsi="Arial" w:cs="Arial"/>
          <w:b/>
          <w:sz w:val="24"/>
          <w:szCs w:val="24"/>
          <w:u w:val="single"/>
        </w:rPr>
        <w:t>Inform</w:t>
      </w:r>
      <w:r>
        <w:rPr>
          <w:rFonts w:ascii="Arial" w:hAnsi="Arial" w:cs="Arial"/>
          <w:b/>
          <w:sz w:val="24"/>
          <w:szCs w:val="24"/>
          <w:u w:val="single"/>
        </w:rPr>
        <w:t>es</w:t>
      </w:r>
      <w:r w:rsidRPr="001D77C1">
        <w:rPr>
          <w:rFonts w:ascii="Arial" w:hAnsi="Arial" w:cs="Arial"/>
          <w:b/>
          <w:sz w:val="24"/>
          <w:szCs w:val="24"/>
          <w:u w:val="single"/>
        </w:rPr>
        <w:t xml:space="preserve"> </w:t>
      </w:r>
      <w:r>
        <w:rPr>
          <w:rFonts w:ascii="Arial" w:hAnsi="Arial" w:cs="Arial"/>
          <w:b/>
          <w:sz w:val="24"/>
          <w:szCs w:val="24"/>
          <w:u w:val="single"/>
        </w:rPr>
        <w:t>evacuados</w:t>
      </w:r>
    </w:p>
    <w:p w:rsidR="00C85324" w:rsidRDefault="00C85324" w:rsidP="00ED03E1">
      <w:pPr>
        <w:spacing w:before="240" w:after="240"/>
        <w:jc w:val="center"/>
        <w:rPr>
          <w:rFonts w:ascii="Arial" w:hAnsi="Arial" w:cs="Arial"/>
          <w:b/>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418"/>
        <w:gridCol w:w="1418"/>
        <w:gridCol w:w="5811"/>
        <w:gridCol w:w="5529"/>
      </w:tblGrid>
      <w:tr w:rsidR="00343086" w:rsidRPr="006E5A21" w:rsidTr="0082764F">
        <w:trPr>
          <w:trHeight w:val="738"/>
          <w:tblHeader/>
        </w:trPr>
        <w:tc>
          <w:tcPr>
            <w:tcW w:w="1418" w:type="dxa"/>
            <w:shd w:val="clear" w:color="auto" w:fill="FFD347"/>
            <w:vAlign w:val="center"/>
            <w:hideMark/>
          </w:tcPr>
          <w:p w:rsidR="00343086" w:rsidRPr="006E5A21" w:rsidRDefault="00343086" w:rsidP="00343086">
            <w:pPr>
              <w:spacing w:before="120" w:after="120" w:line="240" w:lineRule="exact"/>
              <w:contextualSpacing/>
              <w:jc w:val="center"/>
              <w:rPr>
                <w:rFonts w:eastAsia="Times New Roman" w:cs="Times New Roman"/>
                <w:b/>
                <w:sz w:val="20"/>
                <w:szCs w:val="20"/>
              </w:rPr>
            </w:pPr>
            <w:r w:rsidRPr="006E5A21">
              <w:rPr>
                <w:rFonts w:eastAsia="Times New Roman" w:cs="Times New Roman"/>
                <w:b/>
                <w:sz w:val="20"/>
                <w:szCs w:val="20"/>
              </w:rPr>
              <w:t>ARTÍCULOS</w:t>
            </w:r>
            <w:r w:rsidR="00CD76A4">
              <w:rPr>
                <w:rStyle w:val="Refdenotaalpie"/>
                <w:rFonts w:eastAsia="Times New Roman" w:cs="Times New Roman"/>
                <w:b/>
                <w:sz w:val="20"/>
                <w:szCs w:val="20"/>
              </w:rPr>
              <w:footnoteReference w:id="3"/>
            </w:r>
          </w:p>
        </w:tc>
        <w:tc>
          <w:tcPr>
            <w:tcW w:w="1418" w:type="dxa"/>
            <w:shd w:val="clear" w:color="auto" w:fill="FFD347"/>
            <w:vAlign w:val="center"/>
          </w:tcPr>
          <w:p w:rsidR="00343086" w:rsidRPr="006E5A21" w:rsidRDefault="00343086" w:rsidP="00343086">
            <w:pPr>
              <w:spacing w:before="120" w:after="120" w:line="240" w:lineRule="exact"/>
              <w:contextualSpacing/>
              <w:jc w:val="center"/>
              <w:rPr>
                <w:rFonts w:eastAsia="Times New Roman" w:cs="Times New Roman"/>
                <w:b/>
                <w:sz w:val="20"/>
                <w:szCs w:val="20"/>
              </w:rPr>
            </w:pPr>
            <w:r w:rsidRPr="006E5A21">
              <w:rPr>
                <w:rFonts w:eastAsia="Times New Roman" w:cs="Times New Roman"/>
                <w:b/>
                <w:sz w:val="20"/>
                <w:szCs w:val="20"/>
              </w:rPr>
              <w:t>MINISTERIO</w:t>
            </w:r>
          </w:p>
        </w:tc>
        <w:tc>
          <w:tcPr>
            <w:tcW w:w="5811" w:type="dxa"/>
            <w:shd w:val="clear" w:color="auto" w:fill="FFD347"/>
            <w:vAlign w:val="center"/>
            <w:hideMark/>
          </w:tcPr>
          <w:p w:rsidR="00343086" w:rsidRPr="006E5A21" w:rsidRDefault="00343086" w:rsidP="00FB4B5F">
            <w:pPr>
              <w:spacing w:before="120" w:after="120" w:line="240" w:lineRule="auto"/>
              <w:contextualSpacing/>
              <w:jc w:val="center"/>
              <w:rPr>
                <w:rFonts w:eastAsia="Times New Roman" w:cs="Times New Roman"/>
                <w:b/>
                <w:sz w:val="20"/>
                <w:szCs w:val="20"/>
              </w:rPr>
            </w:pPr>
            <w:r w:rsidRPr="006E5A21">
              <w:rPr>
                <w:rFonts w:eastAsia="Times New Roman" w:cs="Times New Roman"/>
                <w:b/>
                <w:sz w:val="20"/>
                <w:szCs w:val="20"/>
              </w:rPr>
              <w:t>OBSERVACIONES</w:t>
            </w:r>
          </w:p>
        </w:tc>
        <w:tc>
          <w:tcPr>
            <w:tcW w:w="5529" w:type="dxa"/>
            <w:shd w:val="clear" w:color="auto" w:fill="FFD347"/>
            <w:vAlign w:val="center"/>
            <w:hideMark/>
          </w:tcPr>
          <w:p w:rsidR="00343086" w:rsidRPr="006E5A21" w:rsidRDefault="00343086" w:rsidP="00FB4B5F">
            <w:pPr>
              <w:spacing w:before="120" w:after="120" w:line="240" w:lineRule="auto"/>
              <w:contextualSpacing/>
              <w:jc w:val="center"/>
              <w:rPr>
                <w:rFonts w:eastAsia="Times New Roman" w:cs="Times New Roman"/>
                <w:b/>
                <w:sz w:val="20"/>
                <w:szCs w:val="20"/>
              </w:rPr>
            </w:pPr>
            <w:r w:rsidRPr="006E5A21">
              <w:rPr>
                <w:rFonts w:eastAsia="Times New Roman" w:cs="Times New Roman"/>
                <w:b/>
                <w:sz w:val="20"/>
                <w:szCs w:val="20"/>
              </w:rPr>
              <w:t>VALORACIÓN</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color w:val="000000"/>
                <w:sz w:val="20"/>
                <w:szCs w:val="20"/>
              </w:rPr>
            </w:pPr>
            <w:r w:rsidRPr="006E5A21">
              <w:rPr>
                <w:rFonts w:eastAsia="Times New Roman" w:cs="Times New Roman"/>
                <w:b/>
                <w:bCs/>
                <w:sz w:val="20"/>
                <w:szCs w:val="20"/>
              </w:rPr>
              <w:t>MINEICO</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SIN OBSERVACIONES</w:t>
            </w:r>
          </w:p>
        </w:tc>
        <w:tc>
          <w:tcPr>
            <w:tcW w:w="5529" w:type="dxa"/>
            <w:shd w:val="clear" w:color="auto" w:fill="auto"/>
            <w:vAlign w:val="center"/>
          </w:tcPr>
          <w:p w:rsidR="00343086" w:rsidRPr="006E5A21" w:rsidRDefault="00343086" w:rsidP="00FB4B5F">
            <w:pPr>
              <w:spacing w:before="120" w:after="120" w:line="240" w:lineRule="auto"/>
              <w:ind w:right="1875"/>
              <w:contextualSpacing/>
              <w:jc w:val="both"/>
              <w:rPr>
                <w:rFonts w:eastAsia="Times New Roman" w:cs="Times New Roman"/>
                <w:b/>
                <w:color w:val="000000"/>
                <w:sz w:val="20"/>
                <w:szCs w:val="20"/>
              </w:rPr>
            </w:pP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Arial"/>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color w:val="000000"/>
                <w:sz w:val="20"/>
                <w:szCs w:val="20"/>
              </w:rPr>
            </w:pPr>
            <w:r w:rsidRPr="006E5A21">
              <w:rPr>
                <w:rFonts w:eastAsia="Times New Roman" w:cs="Times New Roman"/>
                <w:b/>
                <w:bCs/>
                <w:sz w:val="20"/>
                <w:szCs w:val="20"/>
              </w:rPr>
              <w:t>MEYSS</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SIN OBSERVACIONES</w:t>
            </w:r>
          </w:p>
        </w:tc>
        <w:tc>
          <w:tcPr>
            <w:tcW w:w="5529" w:type="dxa"/>
            <w:shd w:val="clear" w:color="auto" w:fill="auto"/>
            <w:vAlign w:val="center"/>
          </w:tcPr>
          <w:p w:rsidR="00343086" w:rsidRPr="006E5A21" w:rsidRDefault="00343086" w:rsidP="00FB4B5F">
            <w:pPr>
              <w:spacing w:before="120" w:after="120" w:line="240" w:lineRule="auto"/>
              <w:ind w:right="176"/>
              <w:contextualSpacing/>
              <w:jc w:val="both"/>
              <w:rPr>
                <w:rFonts w:eastAsia="Times New Roman" w:cs="Times New Roman"/>
                <w:color w:val="000000"/>
                <w:sz w:val="20"/>
                <w:szCs w:val="20"/>
              </w:rPr>
            </w:pP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Arial"/>
                <w:b/>
                <w:bCs/>
                <w:sz w:val="20"/>
                <w:szCs w:val="20"/>
              </w:rPr>
            </w:pPr>
          </w:p>
        </w:tc>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Arial"/>
                <w:b/>
                <w:bCs/>
                <w:sz w:val="20"/>
                <w:szCs w:val="20"/>
              </w:rPr>
            </w:pPr>
            <w:r w:rsidRPr="006E5A21">
              <w:rPr>
                <w:rFonts w:eastAsia="Times New Roman" w:cs="Arial"/>
                <w:b/>
                <w:bCs/>
                <w:sz w:val="20"/>
                <w:szCs w:val="20"/>
              </w:rPr>
              <w:t>MPRAT</w:t>
            </w:r>
          </w:p>
          <w:p w:rsidR="00343086" w:rsidRPr="006E5A21" w:rsidRDefault="00343086" w:rsidP="00343086">
            <w:pPr>
              <w:spacing w:before="120" w:after="120" w:line="240" w:lineRule="auto"/>
              <w:contextualSpacing/>
              <w:jc w:val="center"/>
              <w:rPr>
                <w:rFonts w:eastAsia="Times New Roman" w:cs="Times New Roman"/>
                <w:color w:val="000000"/>
                <w:sz w:val="20"/>
                <w:szCs w:val="20"/>
              </w:rPr>
            </w:pP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SIN OBSERVACIONES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(No obstante, el Ministerio de la Presidencia señala que la referencia a que la iniciativa está recogida en el Plan Anual Normativo 2018, no debería aparecer en la MAIN sino sólo en la Exposición de Motivos de la norma)</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6"/>
              <w:contextualSpacing/>
              <w:jc w:val="both"/>
              <w:rPr>
                <w:rFonts w:eastAsia="Times New Roman" w:cs="Times New Roman"/>
                <w:b/>
                <w:color w:val="000000"/>
                <w:sz w:val="20"/>
                <w:szCs w:val="20"/>
              </w:rPr>
            </w:pPr>
            <w:r w:rsidRPr="006E5A21">
              <w:rPr>
                <w:rFonts w:eastAsia="Times New Roman" w:cs="Times New Roman"/>
                <w:color w:val="000000"/>
                <w:sz w:val="20"/>
                <w:szCs w:val="20"/>
              </w:rPr>
              <w:t xml:space="preserve">La referencia a que la iniciativa está recogida en el </w:t>
            </w:r>
            <w:r w:rsidRPr="006E5A21">
              <w:rPr>
                <w:rFonts w:eastAsia="Calibri" w:cs="Times New Roman"/>
                <w:sz w:val="20"/>
                <w:szCs w:val="20"/>
              </w:rPr>
              <w:t>Plan Anual Normativo</w:t>
            </w:r>
            <w:r w:rsidRPr="006E5A21">
              <w:rPr>
                <w:rFonts w:eastAsia="Times New Roman" w:cs="Times New Roman"/>
                <w:color w:val="000000"/>
                <w:sz w:val="20"/>
                <w:szCs w:val="20"/>
              </w:rPr>
              <w:t xml:space="preserve"> 2018 tanto en la MAIN como en la </w:t>
            </w:r>
            <w:r w:rsidRPr="006E5A21">
              <w:rPr>
                <w:rFonts w:eastAsia="Calibri" w:cs="Times New Roman"/>
                <w:sz w:val="20"/>
                <w:szCs w:val="20"/>
              </w:rPr>
              <w:t>Exposición de Motivos</w:t>
            </w:r>
            <w:r w:rsidRPr="006E5A21">
              <w:rPr>
                <w:rFonts w:eastAsia="Times New Roman" w:cs="Times New Roman"/>
                <w:color w:val="000000"/>
                <w:sz w:val="20"/>
                <w:szCs w:val="20"/>
              </w:rPr>
              <w:t>, aunque pueda ser considerada redundante, no resulta sino aclaratoria.</w:t>
            </w:r>
          </w:p>
        </w:tc>
      </w:tr>
      <w:tr w:rsidR="00343086" w:rsidRPr="006E5A21" w:rsidTr="0082764F">
        <w:trPr>
          <w:trHeight w:val="738"/>
        </w:trPr>
        <w:tc>
          <w:tcPr>
            <w:tcW w:w="1418" w:type="dxa"/>
            <w:shd w:val="clear" w:color="auto" w:fill="auto"/>
            <w:vAlign w:val="center"/>
          </w:tcPr>
          <w:p w:rsidR="002A1BBA" w:rsidRPr="006E5A21" w:rsidRDefault="002A1BBA" w:rsidP="00343086">
            <w:pPr>
              <w:spacing w:before="120" w:after="120" w:line="240" w:lineRule="exact"/>
              <w:contextualSpacing/>
              <w:jc w:val="center"/>
              <w:rPr>
                <w:rFonts w:eastAsia="Calibri" w:cs="Times New Roman"/>
                <w:b/>
                <w:sz w:val="20"/>
                <w:szCs w:val="20"/>
              </w:rPr>
            </w:pPr>
          </w:p>
          <w:p w:rsidR="002A1BBA" w:rsidRPr="006E5A21" w:rsidRDefault="002A1BBA" w:rsidP="00343086">
            <w:pPr>
              <w:spacing w:before="120" w:after="120" w:line="240" w:lineRule="exact"/>
              <w:contextualSpacing/>
              <w:jc w:val="center"/>
              <w:rPr>
                <w:rFonts w:eastAsia="Calibri" w:cs="Times New Roman"/>
                <w:b/>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Calibri" w:cs="Times New Roman"/>
                <w:b/>
                <w:sz w:val="20"/>
                <w:szCs w:val="20"/>
              </w:rPr>
              <w:t>Observación General</w:t>
            </w: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tcBorders>
              <w:bottom w:val="single" w:sz="4" w:space="0" w:color="auto"/>
            </w:tcBorders>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 xml:space="preserve">Observación General: </w:t>
            </w:r>
            <w:r w:rsidRPr="006E5A21">
              <w:rPr>
                <w:rFonts w:eastAsia="Calibri" w:cs="Arial"/>
                <w:sz w:val="20"/>
                <w:szCs w:val="20"/>
              </w:rPr>
              <w:t>El CGPJ sugiere no transponer la directiva mediante ley especial sino modificando la LDC en la parte sustantiva y la LEC en la procesal al entender que  de lo contrario se produce un cierto solapamiento normativo, mayor dispersión e inseguridad jurídica.</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Observación General:</w:t>
            </w:r>
            <w:r w:rsidRPr="006E5A21">
              <w:rPr>
                <w:rFonts w:eastAsia="Calibri" w:cs="Arial"/>
                <w:sz w:val="20"/>
                <w:szCs w:val="20"/>
              </w:rPr>
              <w:t xml:space="preserve"> No puede seguirse la recomendación formulada pues, como se señala en el apartado 1.3 de la MAIN que acompaña al APL:</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r w:rsidRPr="006E5A21">
              <w:rPr>
                <w:rFonts w:eastAsia="Calibri" w:cs="Arial"/>
                <w:sz w:val="20"/>
                <w:szCs w:val="20"/>
              </w:rPr>
              <w:t>“</w:t>
            </w:r>
            <w:r w:rsidRPr="006E5A21">
              <w:rPr>
                <w:rFonts w:eastAsia="Calibri" w:cs="Arial"/>
                <w:i/>
                <w:sz w:val="20"/>
                <w:szCs w:val="20"/>
              </w:rPr>
              <w:t xml:space="preserve">A la vista de la extensión de las cuestiones reguladas por la directiva europea, así como a la vista de la dificultad de cohonestar la sistemática de la regulación de la misma con la de </w:t>
            </w:r>
            <w:r w:rsidRPr="006E5A21">
              <w:rPr>
                <w:rFonts w:eastAsia="Calibri" w:cs="Arial"/>
                <w:i/>
                <w:sz w:val="20"/>
                <w:szCs w:val="20"/>
              </w:rPr>
              <w:lastRenderedPageBreak/>
              <w:t>la Ley 3/1991, de 10 de enero, de Competencia Desleal, y en su parte procesal, con la Ley 1/2000, de 7 de enero, de Enjuiciamiento Civil, resulta obligado efectuar la transposición por medio de una norma de rango legal.</w:t>
            </w: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r w:rsidRPr="006E5A21">
              <w:rPr>
                <w:rFonts w:eastAsia="Calibri" w:cs="Arial"/>
                <w:i/>
                <w:sz w:val="20"/>
                <w:szCs w:val="20"/>
              </w:rPr>
              <w:t>Para llevar a cabo esta labor han sido contempladas dos alternativas:</w:t>
            </w: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r w:rsidRPr="006E5A21">
              <w:rPr>
                <w:rFonts w:eastAsia="Calibri" w:cs="Arial"/>
                <w:i/>
                <w:sz w:val="20"/>
                <w:szCs w:val="20"/>
              </w:rPr>
              <w:t>i) Incorporar las previsiones sustantivas de la directiva en la legislación de competencia desleal y las procesales en la de enjuiciamiento civil.</w:t>
            </w: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r w:rsidRPr="006E5A21">
              <w:rPr>
                <w:rFonts w:eastAsia="Calibri" w:cs="Arial"/>
                <w:i/>
                <w:sz w:val="20"/>
                <w:szCs w:val="20"/>
              </w:rPr>
              <w:t>ii) Impulsar una ley especial.</w:t>
            </w:r>
          </w:p>
          <w:p w:rsidR="00343086" w:rsidRPr="006E5A21" w:rsidRDefault="00343086" w:rsidP="00FB4B5F">
            <w:pPr>
              <w:autoSpaceDE w:val="0"/>
              <w:autoSpaceDN w:val="0"/>
              <w:adjustRightInd w:val="0"/>
              <w:spacing w:before="120" w:after="120" w:line="240" w:lineRule="auto"/>
              <w:contextualSpacing/>
              <w:jc w:val="both"/>
              <w:rPr>
                <w:rFonts w:eastAsia="Calibri" w:cs="Arial"/>
                <w:i/>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i/>
                <w:sz w:val="20"/>
                <w:szCs w:val="20"/>
              </w:rPr>
              <w:t>Esta segunda opción ha sido considerada más adecuada. Por una parte, la regulación de la directiva europea no tiene fácil encaje en la estructura de las dos leyes citadas (la Ley 3/1991, de 10 de enero, de Competencia Desleal y la Ley 1/2000, de 7 de enero, de Enjuiciamiento Civil), cuya ordenación sistemática se vería alterada de insertarse en ellas el régimen sustantivo y procesal de protección de los secretos empresariales. Por otra parte, estos secretos merecen una regulación propia, como aquella de la que ya disponen otros derechos patrimoniales de propiedad industrial, como, por ejemplo, las patentes, los diseños industriales, las obtenciones vegetales o las topografías de productos semiconductores</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lang w:val="es-ES_tradnl"/>
              </w:rPr>
            </w:pP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Calibri" w:cs="Times New Roman"/>
                <w:b/>
                <w:sz w:val="20"/>
                <w:szCs w:val="20"/>
              </w:rPr>
            </w:pPr>
          </w:p>
          <w:p w:rsidR="00343086" w:rsidRPr="006E5A21" w:rsidRDefault="00343086" w:rsidP="00343086">
            <w:pPr>
              <w:spacing w:before="120" w:after="120" w:line="240" w:lineRule="exact"/>
              <w:contextualSpacing/>
              <w:jc w:val="center"/>
              <w:rPr>
                <w:rFonts w:eastAsia="Calibri" w:cs="Times New Roman"/>
                <w:b/>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Calibri" w:cs="Times New Roman"/>
                <w:b/>
                <w:sz w:val="20"/>
                <w:szCs w:val="20"/>
              </w:rPr>
              <w:t>Observación General</w:t>
            </w: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MINETAD</w:t>
            </w:r>
          </w:p>
          <w:p w:rsidR="00343086" w:rsidRPr="006E5A21" w:rsidRDefault="00343086" w:rsidP="00343086">
            <w:pPr>
              <w:spacing w:before="120" w:after="120" w:line="240" w:lineRule="auto"/>
              <w:contextualSpacing/>
              <w:jc w:val="center"/>
              <w:rPr>
                <w:rFonts w:eastAsia="Calibri" w:cs="Times New Roman"/>
                <w:color w:val="000000"/>
                <w:sz w:val="20"/>
                <w:szCs w:val="20"/>
              </w:rPr>
            </w:pPr>
            <w:r w:rsidRPr="006E5A21">
              <w:rPr>
                <w:rFonts w:eastAsia="Times New Roman" w:cs="Times New Roman"/>
                <w:b/>
                <w:bCs/>
                <w:sz w:val="20"/>
                <w:szCs w:val="20"/>
              </w:rPr>
              <w:t>(</w:t>
            </w:r>
            <w:r w:rsidRPr="006E5A21">
              <w:rPr>
                <w:rFonts w:eastAsia="Times New Roman" w:cs="Times New Roman"/>
                <w:b/>
                <w:bCs/>
                <w:caps/>
                <w:sz w:val="20"/>
                <w:szCs w:val="20"/>
              </w:rPr>
              <w:t>sgt</w:t>
            </w:r>
            <w:r w:rsidRPr="006E5A21">
              <w:rPr>
                <w:rFonts w:eastAsia="Times New Roman" w:cs="Times New Roman"/>
                <w:b/>
                <w:bCs/>
                <w:sz w:val="20"/>
                <w:szCs w:val="20"/>
              </w:rPr>
              <w:t>)</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Observación General:</w:t>
            </w:r>
            <w:r w:rsidRPr="006E5A21">
              <w:rPr>
                <w:rFonts w:eastAsia="Calibri" w:cs="Arial"/>
                <w:sz w:val="20"/>
                <w:szCs w:val="20"/>
              </w:rPr>
              <w:t xml:space="preserve"> Se considera justificado que el MINETAD reciba la consideración de Departamento </w:t>
            </w:r>
            <w:proofErr w:type="spellStart"/>
            <w:r w:rsidRPr="006E5A21">
              <w:rPr>
                <w:rFonts w:eastAsia="Calibri" w:cs="Arial"/>
                <w:sz w:val="20"/>
                <w:szCs w:val="20"/>
              </w:rPr>
              <w:t>coproponente</w:t>
            </w:r>
            <w:proofErr w:type="spellEnd"/>
            <w:r w:rsidRPr="006E5A21">
              <w:rPr>
                <w:rFonts w:eastAsia="Calibri" w:cs="Arial"/>
                <w:sz w:val="20"/>
                <w:szCs w:val="20"/>
              </w:rPr>
              <w:t xml:space="preserve"> por ser la OEPM la competente en materia de propiedad industrial.</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6"/>
              <w:contextualSpacing/>
              <w:jc w:val="both"/>
              <w:rPr>
                <w:rFonts w:eastAsia="Times New Roman" w:cs="Times New Roman"/>
                <w:b/>
                <w:color w:val="000000"/>
                <w:sz w:val="20"/>
                <w:szCs w:val="20"/>
              </w:rPr>
            </w:pPr>
            <w:r w:rsidRPr="006E5A21">
              <w:rPr>
                <w:rFonts w:eastAsia="Times New Roman" w:cs="Times New Roman"/>
                <w:b/>
                <w:sz w:val="20"/>
                <w:szCs w:val="20"/>
              </w:rPr>
              <w:lastRenderedPageBreak/>
              <w:t>Observación General:</w:t>
            </w:r>
            <w:r w:rsidRPr="006E5A21">
              <w:rPr>
                <w:rFonts w:eastAsia="Times New Roman" w:cs="Times New Roman"/>
                <w:sz w:val="20"/>
                <w:szCs w:val="20"/>
              </w:rPr>
              <w:t xml:space="preserve"> SE ACEPTA</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A la denominación</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A la denominación:</w:t>
            </w:r>
            <w:r w:rsidRPr="006E5A21">
              <w:rPr>
                <w:rFonts w:eastAsia="Calibri" w:cs="Arial"/>
                <w:sz w:val="20"/>
                <w:szCs w:val="20"/>
              </w:rPr>
              <w:t xml:space="preserve"> Sugiere el CGPJ seguir la denominación de la directiva y rubricar la norma como “</w:t>
            </w:r>
            <w:r w:rsidRPr="006E5A21">
              <w:rPr>
                <w:rFonts w:eastAsia="Calibri" w:cs="Arial"/>
                <w:i/>
                <w:sz w:val="20"/>
                <w:szCs w:val="20"/>
              </w:rPr>
              <w:t>Ley para la protección de secretos empresariales</w:t>
            </w:r>
            <w:r w:rsidRPr="006E5A21">
              <w:rPr>
                <w:rFonts w:eastAsia="Calibri" w:cs="Arial"/>
                <w:sz w:val="20"/>
                <w:szCs w:val="20"/>
              </w:rPr>
              <w:t>” pues resulta más acorde con el objeto proclamado en el art. 1.1.</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 xml:space="preserve">A la denominación: </w:t>
            </w:r>
            <w:r w:rsidRPr="006E5A21">
              <w:rPr>
                <w:rFonts w:eastAsia="Calibri" w:cs="Arial"/>
                <w:sz w:val="20"/>
                <w:szCs w:val="20"/>
              </w:rPr>
              <w:t xml:space="preserve">Parece más razonable mantener la denominación del APL al regular </w:t>
            </w:r>
            <w:r w:rsidRPr="006E5A21">
              <w:rPr>
                <w:rFonts w:eastAsia="Calibri" w:cs="Arial"/>
                <w:i/>
                <w:sz w:val="20"/>
                <w:szCs w:val="20"/>
              </w:rPr>
              <w:t xml:space="preserve">ex </w:t>
            </w:r>
            <w:proofErr w:type="spellStart"/>
            <w:r w:rsidRPr="006E5A21">
              <w:rPr>
                <w:rFonts w:eastAsia="Calibri" w:cs="Arial"/>
                <w:i/>
                <w:sz w:val="20"/>
                <w:szCs w:val="20"/>
              </w:rPr>
              <w:t>novo</w:t>
            </w:r>
            <w:proofErr w:type="spellEnd"/>
            <w:r w:rsidRPr="006E5A21">
              <w:rPr>
                <w:rFonts w:eastAsia="Calibri" w:cs="Arial"/>
                <w:sz w:val="20"/>
                <w:szCs w:val="20"/>
              </w:rPr>
              <w:t xml:space="preserve"> en nuestro ordenamiento un “régimen integral” de los secretos empresariales.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r>
      <w:tr w:rsidR="00343086" w:rsidRPr="006E5A21" w:rsidTr="0082764F">
        <w:trPr>
          <w:trHeight w:val="58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Calibri" w:cs="Times New Roman"/>
                <w:b/>
                <w:bCs/>
                <w:sz w:val="20"/>
                <w:szCs w:val="20"/>
              </w:rPr>
            </w:pPr>
            <w:r w:rsidRPr="006E5A21">
              <w:rPr>
                <w:rFonts w:eastAsia="Calibri" w:cs="Times New Roman"/>
                <w:b/>
                <w:bCs/>
                <w:sz w:val="20"/>
                <w:szCs w:val="20"/>
              </w:rPr>
              <w:t>Exposición de Motivos</w:t>
            </w:r>
          </w:p>
          <w:p w:rsidR="00343086" w:rsidRPr="006E5A21" w:rsidRDefault="00343086" w:rsidP="00343086">
            <w:pPr>
              <w:spacing w:before="120" w:after="120" w:line="240" w:lineRule="exact"/>
              <w:contextualSpacing/>
              <w:jc w:val="center"/>
              <w:rPr>
                <w:rFonts w:eastAsia="Calibri"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Apartado I</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Calibri" w:cs="Times New Roman"/>
                <w:color w:val="000000"/>
                <w:sz w:val="20"/>
                <w:szCs w:val="20"/>
              </w:rPr>
            </w:pPr>
            <w:r w:rsidRPr="006E5A21">
              <w:rPr>
                <w:rFonts w:eastAsia="Times New Roman" w:cs="Times New Roman"/>
                <w:b/>
                <w:bCs/>
                <w:sz w:val="20"/>
                <w:szCs w:val="20"/>
              </w:rPr>
              <w:t>OEPM</w:t>
            </w:r>
          </w:p>
        </w:tc>
        <w:tc>
          <w:tcPr>
            <w:tcW w:w="5811" w:type="dxa"/>
            <w:shd w:val="clear" w:color="auto" w:fill="auto"/>
            <w:vAlign w:val="center"/>
          </w:tcPr>
          <w:p w:rsidR="00343086" w:rsidRPr="006E5A21" w:rsidRDefault="00343086" w:rsidP="00FB4B5F">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343086" w:rsidRPr="006E5A21" w:rsidRDefault="00343086" w:rsidP="00FB4B5F">
            <w:pPr>
              <w:spacing w:after="0" w:line="240" w:lineRule="auto"/>
              <w:contextualSpacing/>
              <w:jc w:val="both"/>
              <w:rPr>
                <w:rFonts w:eastAsia="Calibri" w:cs="Times New Roman"/>
                <w:b/>
                <w:sz w:val="20"/>
                <w:szCs w:val="20"/>
              </w:rPr>
            </w:pPr>
            <w:r w:rsidRPr="006E5A21">
              <w:rPr>
                <w:rFonts w:eastAsia="Calibri" w:cs="Times New Roman"/>
                <w:b/>
                <w:sz w:val="20"/>
                <w:szCs w:val="20"/>
              </w:rPr>
              <w:t>Apartado I. Párrafo primero</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Cs/>
                <w:sz w:val="20"/>
                <w:szCs w:val="20"/>
              </w:rPr>
              <w:t xml:space="preserve">En </w:t>
            </w:r>
            <w:r w:rsidRPr="006E5A21">
              <w:rPr>
                <w:rFonts w:eastAsia="Calibri" w:cs="Arial"/>
                <w:sz w:val="20"/>
                <w:szCs w:val="20"/>
              </w:rPr>
              <w:t>el ordinal I, primer párrafo, línea 4, señala que: “</w:t>
            </w:r>
            <w:r w:rsidRPr="006E5A21">
              <w:rPr>
                <w:rFonts w:eastAsia="Calibri" w:cs="Arial"/>
                <w:i/>
                <w:sz w:val="20"/>
                <w:szCs w:val="20"/>
              </w:rPr>
              <w:t>Las empresas valoran sus secretos empresariales tanto como los derechos de propiedad intelectual y utilizan…</w:t>
            </w:r>
            <w:r w:rsidRPr="006E5A21">
              <w:rPr>
                <w:rFonts w:eastAsia="Calibri" w:cs="Arial"/>
                <w:sz w:val="20"/>
                <w:szCs w:val="20"/>
              </w:rPr>
              <w:t xml:space="preserve">”, aunque debería incluir: “derechos </w:t>
            </w:r>
            <w:r w:rsidRPr="006E5A21">
              <w:rPr>
                <w:rFonts w:eastAsia="Calibri" w:cs="Arial"/>
                <w:sz w:val="20"/>
                <w:szCs w:val="20"/>
                <w:u w:val="single"/>
              </w:rPr>
              <w:t>de propiedad industrial”</w:t>
            </w:r>
            <w:r w:rsidRPr="006E5A21">
              <w:rPr>
                <w:rFonts w:eastAsia="Calibri" w:cs="Arial"/>
                <w:sz w:val="20"/>
                <w:szCs w:val="20"/>
              </w:rPr>
              <w:t xml:space="preserve"> además de los de propiedad intelectual pues la protección se extiende a ambas especialidades.</w:t>
            </w:r>
          </w:p>
        </w:tc>
        <w:tc>
          <w:tcPr>
            <w:tcW w:w="5529" w:type="dxa"/>
            <w:shd w:val="clear" w:color="auto" w:fill="auto"/>
            <w:vAlign w:val="center"/>
          </w:tcPr>
          <w:p w:rsidR="00343086" w:rsidRPr="006E5A21" w:rsidRDefault="00343086" w:rsidP="00FB4B5F">
            <w:pPr>
              <w:spacing w:after="0" w:line="240" w:lineRule="auto"/>
              <w:contextualSpacing/>
              <w:jc w:val="both"/>
              <w:rPr>
                <w:rFonts w:eastAsia="Calibri" w:cs="Times New Roman"/>
                <w:b/>
                <w:sz w:val="20"/>
                <w:szCs w:val="20"/>
              </w:rPr>
            </w:pPr>
            <w:r w:rsidRPr="006E5A21">
              <w:rPr>
                <w:rFonts w:eastAsia="Calibri" w:cs="Times New Roman"/>
                <w:b/>
                <w:sz w:val="20"/>
                <w:szCs w:val="20"/>
              </w:rPr>
              <w:t>Exposición de Motivos</w:t>
            </w:r>
          </w:p>
          <w:p w:rsidR="00343086" w:rsidRPr="006E5A21" w:rsidRDefault="00343086" w:rsidP="00FB4B5F">
            <w:pPr>
              <w:spacing w:after="0" w:line="240" w:lineRule="auto"/>
              <w:contextualSpacing/>
              <w:jc w:val="both"/>
              <w:rPr>
                <w:rFonts w:eastAsia="Calibri" w:cs="Times New Roman"/>
                <w:b/>
                <w:sz w:val="20"/>
                <w:szCs w:val="20"/>
              </w:rPr>
            </w:pPr>
            <w:r w:rsidRPr="006E5A21">
              <w:rPr>
                <w:rFonts w:eastAsia="Calibri" w:cs="Times New Roman"/>
                <w:b/>
                <w:sz w:val="20"/>
                <w:szCs w:val="20"/>
              </w:rPr>
              <w:t>Apartado I. Párrafo primero</w:t>
            </w:r>
          </w:p>
          <w:p w:rsidR="00343086" w:rsidRPr="006E5A21" w:rsidRDefault="00343086" w:rsidP="00FB4B5F">
            <w:pPr>
              <w:spacing w:before="120" w:after="120" w:line="240" w:lineRule="auto"/>
              <w:ind w:right="1875"/>
              <w:contextualSpacing/>
              <w:jc w:val="both"/>
              <w:rPr>
                <w:rFonts w:eastAsia="Times New Roman" w:cs="Times New Roman"/>
                <w:b/>
                <w:color w:val="000000"/>
                <w:sz w:val="20"/>
                <w:szCs w:val="20"/>
              </w:rPr>
            </w:pPr>
            <w:r w:rsidRPr="006E5A21">
              <w:rPr>
                <w:rFonts w:eastAsia="Calibri" w:cs="Times New Roman"/>
                <w:sz w:val="20"/>
                <w:szCs w:val="20"/>
              </w:rPr>
              <w:t>SE ACEPTA</w:t>
            </w:r>
          </w:p>
        </w:tc>
      </w:tr>
      <w:tr w:rsidR="00343086" w:rsidRPr="006E5A21" w:rsidTr="0082764F">
        <w:trPr>
          <w:trHeight w:val="738"/>
        </w:trPr>
        <w:tc>
          <w:tcPr>
            <w:tcW w:w="1418" w:type="dxa"/>
            <w:vMerge w:val="restart"/>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Calibri" w:cs="Times New Roman"/>
                <w:b/>
                <w:sz w:val="20"/>
                <w:szCs w:val="20"/>
              </w:rPr>
              <w:t>Art. 1</w:t>
            </w:r>
          </w:p>
        </w:tc>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CNMC</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1:</w:t>
            </w:r>
            <w:r w:rsidRPr="006E5A21">
              <w:rPr>
                <w:rFonts w:eastAsia="Calibri" w:cs="Arial"/>
                <w:sz w:val="20"/>
                <w:szCs w:val="20"/>
              </w:rPr>
              <w:t xml:space="preserve"> Señala la CNMC que el concepto de secreto empresarial no hace mención expresa al carácter lícito de la información que es objeto de secreto lo que debería ser recogido como uno de sus elementos esenciales.</w:t>
            </w: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b/>
                <w:color w:val="000000"/>
                <w:sz w:val="20"/>
                <w:szCs w:val="20"/>
              </w:rPr>
              <w:t>Art. 1</w:t>
            </w:r>
            <w:r w:rsidRPr="006E5A21">
              <w:rPr>
                <w:rFonts w:eastAsia="Times New Roman" w:cs="Times New Roman"/>
                <w:color w:val="000000"/>
                <w:sz w:val="20"/>
                <w:szCs w:val="20"/>
              </w:rPr>
              <w:t>: este precepto sigue la definición de la directiva cuyo objetivo es  establecer una única definición para toda la UE. Por otra parte, no parece tener en cuenta la observación formulada que la licitud de la información queda protegida ex arts. 2 y 3 del APL.</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1.1</w:t>
            </w:r>
            <w:r w:rsidRPr="006E5A21">
              <w:rPr>
                <w:rFonts w:eastAsia="Calibri" w:cs="Arial"/>
                <w:sz w:val="20"/>
                <w:szCs w:val="20"/>
              </w:rPr>
              <w:t xml:space="preserve">: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w:t>
            </w:r>
            <w:r w:rsidRPr="006E5A21">
              <w:rPr>
                <w:rFonts w:eastAsia="Calibri" w:cs="Arial"/>
                <w:sz w:val="20"/>
                <w:szCs w:val="20"/>
              </w:rPr>
              <w:t xml:space="preserve"> El precepto mantiene la imprecisión de la noción “conocimiento general” de la información. Se mantiene la incógnita, por tanto, de dónde se encuentra el límite del conocimiento tolerable para determinar el carácter secreto. El criterio para determinar cuándo la información no es generalmente conocida debería girar en torno a la existencia de un interés legítimo por mantenerla confidencial y una expectativa legítima de que se preserve dicha confidencialidad, tal y como se infiere del considerando (14) de la directiva.</w:t>
            </w:r>
          </w:p>
          <w:p w:rsidR="00CF1547" w:rsidRPr="006E5A21" w:rsidRDefault="00CF1547" w:rsidP="00FB4B5F">
            <w:pPr>
              <w:autoSpaceDE w:val="0"/>
              <w:autoSpaceDN w:val="0"/>
              <w:adjustRightInd w:val="0"/>
              <w:spacing w:before="120" w:after="120" w:line="240" w:lineRule="auto"/>
              <w:contextualSpacing/>
              <w:jc w:val="both"/>
              <w:rPr>
                <w:rFonts w:eastAsia="Calibri" w:cs="Verdana"/>
                <w:b/>
                <w:sz w:val="20"/>
                <w:szCs w:val="20"/>
              </w:rPr>
            </w:pP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r w:rsidRPr="006E5A21">
              <w:rPr>
                <w:rFonts w:cs="Verdana"/>
                <w:b/>
                <w:sz w:val="20"/>
                <w:szCs w:val="20"/>
              </w:rPr>
              <w:t>b)</w:t>
            </w:r>
            <w:r w:rsidRPr="006E5A21">
              <w:rPr>
                <w:rFonts w:cs="Verdana"/>
                <w:sz w:val="20"/>
                <w:szCs w:val="20"/>
              </w:rPr>
              <w:t xml:space="preserve"> La facilidad o no del acceso a la información debería concretarse conforme pautas que contengan criterios objetivos, y debe venir referida a los competidores, actuales o potenciales. </w:t>
            </w: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r w:rsidRPr="006E5A21">
              <w:rPr>
                <w:rFonts w:cs="Verdana"/>
                <w:b/>
                <w:sz w:val="20"/>
                <w:szCs w:val="20"/>
              </w:rPr>
              <w:t>c)</w:t>
            </w:r>
            <w:r w:rsidRPr="006E5A21">
              <w:rPr>
                <w:rFonts w:cs="Verdana"/>
                <w:sz w:val="20"/>
                <w:szCs w:val="20"/>
              </w:rPr>
              <w:t xml:space="preserve"> El valor empresarial ha de entenderse referido a una ventaja competitiva, real y objetiva, actual o potencial, entendida como la probabilidad de que la obtención, utilización o revelación ilícitas de la información pueda perjudicar los intereses de la persona que ejerce legítimamente el control del secreto empresarial, menoscabando su potencial científico y técnico, sus intereses empresariales o financieros, sus posiciones estratégicas o su capacidad para competir, tal y como indica el considerando (14) DSC.</w:t>
            </w: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p>
          <w:p w:rsidR="00343086" w:rsidRPr="006E5A21" w:rsidRDefault="00343086" w:rsidP="00FB4B5F">
            <w:pPr>
              <w:autoSpaceDE w:val="0"/>
              <w:autoSpaceDN w:val="0"/>
              <w:adjustRightInd w:val="0"/>
              <w:spacing w:before="120" w:after="120" w:line="240" w:lineRule="auto"/>
              <w:contextualSpacing/>
              <w:jc w:val="both"/>
              <w:rPr>
                <w:rFonts w:cs="Times New Roman"/>
                <w:b/>
                <w:sz w:val="20"/>
                <w:szCs w:val="20"/>
              </w:rPr>
            </w:pPr>
            <w:r w:rsidRPr="006E5A21">
              <w:rPr>
                <w:rFonts w:cs="Verdana"/>
                <w:b/>
                <w:sz w:val="20"/>
                <w:szCs w:val="20"/>
              </w:rPr>
              <w:t>d)</w:t>
            </w:r>
            <w:r w:rsidRPr="006E5A21">
              <w:rPr>
                <w:rFonts w:cs="Verdana"/>
                <w:sz w:val="20"/>
                <w:szCs w:val="20"/>
              </w:rPr>
              <w:t xml:space="preserve"> Al referirse a la adopción de medidas razonables para mantener el carácter secreto de la información [letra c) del artículo 1.1], debería atenderse a las circunstancias del caso, para facilitar su apreciación discrecional atendiendo a todas las concurrentes, sean de la naturaleza que fueren.</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Times New Roman" w:cs="Times New Roman"/>
                <w:color w:val="000000"/>
                <w:sz w:val="20"/>
                <w:szCs w:val="20"/>
              </w:rPr>
            </w:pPr>
            <w:r w:rsidRPr="006E5A21">
              <w:rPr>
                <w:rFonts w:eastAsia="Calibri" w:cs="Times New Roman"/>
                <w:b/>
                <w:sz w:val="20"/>
                <w:szCs w:val="20"/>
              </w:rPr>
              <w:lastRenderedPageBreak/>
              <w:t>Art. 1.1:</w:t>
            </w:r>
            <w:r w:rsidRPr="006E5A21">
              <w:rPr>
                <w:rFonts w:eastAsia="Times New Roman" w:cs="Times New Roman"/>
                <w:color w:val="000000"/>
                <w:sz w:val="20"/>
                <w:szCs w:val="20"/>
              </w:rPr>
              <w:t xml:space="preserve"> </w:t>
            </w:r>
            <w:r w:rsidRPr="006E5A21">
              <w:rPr>
                <w:rFonts w:eastAsia="Calibri" w:cs="Times New Roman"/>
                <w:sz w:val="20"/>
                <w:szCs w:val="20"/>
              </w:rPr>
              <w:t>SE ACEPTA PARCIALMENTE</w:t>
            </w:r>
          </w:p>
          <w:p w:rsidR="00343086" w:rsidRPr="006E5A21" w:rsidRDefault="00343086" w:rsidP="00FB4B5F">
            <w:pPr>
              <w:autoSpaceDE w:val="0"/>
              <w:autoSpaceDN w:val="0"/>
              <w:adjustRightInd w:val="0"/>
              <w:spacing w:before="120" w:after="120" w:line="240" w:lineRule="auto"/>
              <w:contextualSpacing/>
              <w:jc w:val="both"/>
              <w:rPr>
                <w:rFonts w:eastAsia="Times New Roman" w:cs="Times New Roman"/>
                <w:color w:val="000000"/>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Times New Roman" w:cs="Times New Roman"/>
                <w:color w:val="000000"/>
                <w:sz w:val="20"/>
                <w:szCs w:val="20"/>
              </w:rPr>
            </w:pPr>
            <w:r w:rsidRPr="006E5A21">
              <w:rPr>
                <w:rFonts w:eastAsia="Times New Roman" w:cs="Times New Roman"/>
                <w:color w:val="000000"/>
                <w:sz w:val="20"/>
                <w:szCs w:val="20"/>
              </w:rPr>
              <w:t>El Art. 1 sigue la definición de la directiva cuyo objetivo es  establecer una única definición para toda la UE. Por ello, no es posible objetivar más criterios.</w:t>
            </w:r>
          </w:p>
          <w:p w:rsidR="00343086" w:rsidRPr="006E5A21" w:rsidRDefault="00343086" w:rsidP="00FB4B5F">
            <w:pPr>
              <w:autoSpaceDE w:val="0"/>
              <w:autoSpaceDN w:val="0"/>
              <w:adjustRightInd w:val="0"/>
              <w:spacing w:before="120" w:after="120" w:line="240" w:lineRule="auto"/>
              <w:contextualSpacing/>
              <w:jc w:val="both"/>
              <w:rPr>
                <w:rFonts w:eastAsia="Times New Roman" w:cs="Times New Roman"/>
                <w:color w:val="000000"/>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Times New Roman"/>
                <w:sz w:val="20"/>
                <w:szCs w:val="20"/>
              </w:rPr>
            </w:pPr>
            <w:r w:rsidRPr="006E5A21">
              <w:rPr>
                <w:rFonts w:cs="Verdana"/>
                <w:sz w:val="20"/>
                <w:szCs w:val="20"/>
              </w:rPr>
              <w:t>No obstante, se incluirá en el apartado II de la Exposición de Motivos del anteproyecto un nuevo párrafo que reproduzca parte del considerando 14 de la directiva a efectos interpretativos.</w:t>
            </w:r>
          </w:p>
          <w:p w:rsidR="00343086" w:rsidRPr="006E5A21" w:rsidRDefault="00343086" w:rsidP="00FB4B5F">
            <w:pPr>
              <w:autoSpaceDE w:val="0"/>
              <w:autoSpaceDN w:val="0"/>
              <w:adjustRightInd w:val="0"/>
              <w:spacing w:before="120" w:after="120" w:line="240" w:lineRule="auto"/>
              <w:contextualSpacing/>
              <w:jc w:val="both"/>
              <w:rPr>
                <w:rFonts w:eastAsia="Calibri" w:cs="Times New Roman"/>
                <w:b/>
                <w:sz w:val="20"/>
                <w:szCs w:val="20"/>
              </w:rPr>
            </w:pP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r w:rsidRPr="006E5A21">
              <w:rPr>
                <w:rFonts w:eastAsia="Calibri" w:cs="Times New Roman"/>
                <w:sz w:val="20"/>
                <w:szCs w:val="20"/>
              </w:rPr>
              <w:t xml:space="preserve">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r>
      <w:tr w:rsidR="00343086" w:rsidRPr="006E5A21" w:rsidTr="0082764F">
        <w:trPr>
          <w:trHeight w:val="738"/>
        </w:trPr>
        <w:tc>
          <w:tcPr>
            <w:tcW w:w="1418" w:type="dxa"/>
            <w:vMerge w:val="restart"/>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Calibri" w:cs="Times New Roman"/>
                <w:b/>
                <w:sz w:val="20"/>
                <w:szCs w:val="20"/>
              </w:rPr>
              <w:lastRenderedPageBreak/>
              <w:t>Art. 1.3</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Art. 1.3:</w:t>
            </w:r>
            <w:r w:rsidRPr="006E5A21">
              <w:rPr>
                <w:rFonts w:eastAsia="Calibri" w:cs="Arial"/>
                <w:sz w:val="20"/>
                <w:szCs w:val="20"/>
              </w:rPr>
              <w:t xml:space="preserve"> Sería conveniente que el </w:t>
            </w:r>
            <w:proofErr w:type="spellStart"/>
            <w:r w:rsidRPr="006E5A21">
              <w:rPr>
                <w:rFonts w:eastAsia="Calibri" w:cs="Arial"/>
                <w:sz w:val="20"/>
                <w:szCs w:val="20"/>
              </w:rPr>
              <w:t>prelegislador</w:t>
            </w:r>
            <w:proofErr w:type="spellEnd"/>
            <w:r w:rsidRPr="006E5A21">
              <w:rPr>
                <w:rFonts w:eastAsia="Calibri" w:cs="Arial"/>
                <w:sz w:val="20"/>
                <w:szCs w:val="20"/>
              </w:rPr>
              <w:t xml:space="preserve"> ofreciera pautas normativas para identificar lo más objetivamente posible la información y los conocimientos técnicos que integran el concepto de secreto empresarial frente los conocimientos, experiencias y competencias del trabajador sobre los que no ha de pesar el deber de reserva, para lo cual cabría considerar como criterio diferenciador la individualidad propia de estos conocimientos y competencias, como entidad objetiva distinta de los conocimientos técnicos y la información de la empresa, y atender a su vinculación a la esfera personal y profesional del trabajador y a la eventual afectación de su desarrollo profesional.</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1.3:</w:t>
            </w:r>
            <w:r w:rsidRPr="006E5A21">
              <w:rPr>
                <w:rFonts w:eastAsia="Calibri" w:cs="Arial"/>
                <w:sz w:val="20"/>
                <w:szCs w:val="20"/>
              </w:rPr>
              <w:t xml:space="preserve"> el CGPJ no concreta el sentido de su propuesta debiendo tenerse en cuenta que el precepto observado viene a transponer la literalidad de la directiva. </w:t>
            </w:r>
          </w:p>
        </w:tc>
      </w:tr>
      <w:tr w:rsidR="00343086" w:rsidRPr="006E5A21" w:rsidTr="0082764F">
        <w:trPr>
          <w:trHeight w:val="58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Calibri" w:cs="Times New Roman"/>
                <w:color w:val="000000"/>
                <w:sz w:val="20"/>
                <w:szCs w:val="20"/>
              </w:rPr>
            </w:pPr>
            <w:r w:rsidRPr="006E5A21">
              <w:rPr>
                <w:rFonts w:eastAsia="Calibri" w:cs="Times New Roman"/>
                <w:b/>
                <w:color w:val="000000"/>
                <w:sz w:val="20"/>
                <w:szCs w:val="20"/>
              </w:rPr>
              <w:t>OEPM</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1.3:</w:t>
            </w:r>
            <w:r w:rsidRPr="006E5A21">
              <w:rPr>
                <w:rFonts w:eastAsia="Calibri" w:cs="Arial"/>
                <w:sz w:val="20"/>
                <w:szCs w:val="20"/>
              </w:rPr>
              <w:t xml:space="preserve"> siguiendo el APL, la protección de los secretos empresariales no podrá impedir a los trabajadores el uso de información que no reúna todos los requisitos del secreto empresarial. No obstante, la LP regula los “secretos industriales” en relación con el personal investigador de universidades y entes públicos en dos preceptos: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numPr>
                <w:ilvl w:val="0"/>
                <w:numId w:val="20"/>
              </w:num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Art. 18.3 LP, sobre “</w:t>
            </w:r>
            <w:r w:rsidRPr="006E5A21">
              <w:rPr>
                <w:rFonts w:eastAsia="Calibri" w:cs="Arial"/>
                <w:i/>
                <w:sz w:val="20"/>
                <w:szCs w:val="20"/>
              </w:rPr>
              <w:t>mejoras técnicas no patentables obtenidas por el empleado (…) que mediante su explotación como secreto industrial ofrezcan al empleador una posición ventajosa similar a la obtenida a partir de un derecho de propiedad industrial</w:t>
            </w:r>
            <w:r w:rsidRPr="006E5A21">
              <w:rPr>
                <w:rFonts w:eastAsia="Calibri" w:cs="Arial"/>
                <w:sz w:val="20"/>
                <w:szCs w:val="20"/>
              </w:rPr>
              <w:t>”, que podrán dar derecho a una indemnización al empleador.</w:t>
            </w:r>
          </w:p>
          <w:p w:rsidR="00343086" w:rsidRPr="006E5A21" w:rsidRDefault="00343086" w:rsidP="00FB4B5F">
            <w:pPr>
              <w:numPr>
                <w:ilvl w:val="0"/>
                <w:numId w:val="20"/>
              </w:num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Art. 21.3 LP, sobre la publicación de una investigación que no podrá llevarse a cabo hasta que transcurran tres meses durante los cuales el organismo o entidad pública de investigación deberá comunicar por escrito al autor de la invención si desea solicitar una patente o considerar su invención como secreto industrial.</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En consecuencia, la OEPM propone añadir un nuevo apartado:</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w:t>
            </w:r>
            <w:r w:rsidRPr="006E5A21">
              <w:rPr>
                <w:rFonts w:eastAsia="Calibri" w:cs="Arial"/>
                <w:i/>
                <w:sz w:val="20"/>
                <w:szCs w:val="20"/>
              </w:rPr>
              <w:t>4. Los secretos empresariales alcanzados por empleados o trabajadores en el marco de una relación de empleo o de servicios o por el personal investigador de las Universidades Públicas y de los Entes Públicos de Investigación se regirán por lo dispuesto en los artículos 15 a 21 de Ley 24/2015, de 24 de julio de Patentes y supletoriamente por lo previsto en esta Ley</w:t>
            </w:r>
            <w:r w:rsidRPr="006E5A21">
              <w:rPr>
                <w:rFonts w:eastAsia="Calibri" w:cs="Arial"/>
                <w:sz w:val="20"/>
                <w:szCs w:val="20"/>
              </w:rPr>
              <w:t>”.</w:t>
            </w: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sz w:val="20"/>
                <w:szCs w:val="20"/>
              </w:rPr>
            </w:pPr>
            <w:r w:rsidRPr="006E5A21">
              <w:rPr>
                <w:rFonts w:eastAsia="Times New Roman" w:cs="Times New Roman"/>
                <w:b/>
                <w:sz w:val="20"/>
                <w:szCs w:val="20"/>
              </w:rPr>
              <w:t>Art. 1.3:</w:t>
            </w:r>
            <w:r w:rsidRPr="006E5A21">
              <w:rPr>
                <w:rFonts w:eastAsia="Times New Roman" w:cs="Times New Roman"/>
                <w:sz w:val="20"/>
                <w:szCs w:val="20"/>
              </w:rPr>
              <w:t xml:space="preserve"> SE ACEPTA</w:t>
            </w:r>
          </w:p>
          <w:p w:rsidR="00343086" w:rsidRPr="006E5A21" w:rsidRDefault="00343086" w:rsidP="00FB4B5F">
            <w:pPr>
              <w:spacing w:before="120" w:after="120" w:line="240" w:lineRule="auto"/>
              <w:ind w:right="175"/>
              <w:contextualSpacing/>
              <w:jc w:val="both"/>
              <w:rPr>
                <w:rFonts w:eastAsia="Times New Roman" w:cs="Times New Roman"/>
                <w:sz w:val="20"/>
                <w:szCs w:val="20"/>
              </w:rPr>
            </w:pPr>
          </w:p>
          <w:p w:rsidR="00343086" w:rsidRPr="006E5A21" w:rsidRDefault="00343086" w:rsidP="00FB4B5F">
            <w:pPr>
              <w:spacing w:before="120" w:after="120" w:line="240" w:lineRule="auto"/>
              <w:ind w:right="175"/>
              <w:contextualSpacing/>
              <w:jc w:val="both"/>
              <w:rPr>
                <w:rFonts w:eastAsia="Times New Roman" w:cs="Times New Roman"/>
                <w:sz w:val="20"/>
                <w:szCs w:val="20"/>
              </w:rPr>
            </w:pPr>
            <w:r w:rsidRPr="006E5A21">
              <w:rPr>
                <w:rFonts w:eastAsia="Times New Roman" w:cs="Times New Roman"/>
                <w:sz w:val="20"/>
                <w:szCs w:val="20"/>
              </w:rPr>
              <w:t>Se considera necesaria la precisión en torno a la regulación de los secretos industriales de la LP por lo que procede completar el art. 1.3 con un segundo párrafo en el que se señale que “</w:t>
            </w:r>
            <w:r w:rsidRPr="006E5A21">
              <w:rPr>
                <w:rFonts w:eastAsia="Times New Roman" w:cs="Times New Roman"/>
                <w:i/>
                <w:sz w:val="20"/>
                <w:szCs w:val="20"/>
              </w:rPr>
              <w:t>Asimismo, lo dispuesto en esta ley se entenderá sin perjuicio de lo previsto en el Título IV  de la Ley 24/2015, de 24 de julio, de Patentes.</w:t>
            </w:r>
            <w:r w:rsidRPr="006E5A21">
              <w:rPr>
                <w:rFonts w:eastAsia="Times New Roman" w:cs="Times New Roman"/>
                <w:sz w:val="20"/>
                <w:szCs w:val="20"/>
              </w:rPr>
              <w:t>”.</w:t>
            </w:r>
          </w:p>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p>
        </w:tc>
      </w:tr>
      <w:tr w:rsidR="00343086" w:rsidRPr="006E5A21" w:rsidTr="0082764F">
        <w:trPr>
          <w:trHeight w:val="738"/>
        </w:trPr>
        <w:tc>
          <w:tcPr>
            <w:tcW w:w="1418" w:type="dxa"/>
            <w:shd w:val="clear" w:color="auto" w:fill="auto"/>
            <w:vAlign w:val="center"/>
          </w:tcPr>
          <w:p w:rsidR="00343086" w:rsidRPr="006E5A21" w:rsidRDefault="00197300"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Art. 2.1</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OEPM</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 xml:space="preserve">Art. 2.1.d): </w:t>
            </w:r>
            <w:r w:rsidRPr="006E5A21">
              <w:rPr>
                <w:rFonts w:eastAsia="Calibri" w:cs="Arial"/>
                <w:sz w:val="20"/>
                <w:szCs w:val="20"/>
              </w:rPr>
              <w:t>el inciso “</w:t>
            </w:r>
            <w:r w:rsidRPr="006E5A21">
              <w:rPr>
                <w:rFonts w:eastAsia="Calibri" w:cs="Arial"/>
                <w:i/>
                <w:sz w:val="20"/>
                <w:szCs w:val="20"/>
              </w:rPr>
              <w:t>incluida la transferencia, cesión o licencia contractual del secreto empresarial</w:t>
            </w:r>
            <w:r w:rsidRPr="006E5A21">
              <w:rPr>
                <w:rFonts w:eastAsia="Calibri" w:cs="Arial"/>
                <w:sz w:val="20"/>
                <w:szCs w:val="20"/>
              </w:rPr>
              <w:t xml:space="preserve">” excede del contenido literal del art. 3.1.d) de la directiva y puede dar lugar a equívocos. Por ejemplo, una cesión o licencia contractual del secreto puede constituir una </w:t>
            </w:r>
            <w:r w:rsidRPr="006E5A21">
              <w:rPr>
                <w:rFonts w:eastAsia="Calibri" w:cs="Arial"/>
                <w:sz w:val="20"/>
                <w:szCs w:val="20"/>
              </w:rPr>
              <w:lastRenderedPageBreak/>
              <w:t>obtención lícita del mismo, pero no en todas las ocasiones lo será. En el ámbito de las invenciones pueden existir diferentes mejores modos de poner en práctica la regla técnica protegida, lo cual puede dar lugar a diferentes secretos empresariales, que a su vez pueden ser objeto de diversos negocios jurídicos. Por esta razón, si se deja la redacción actual del precepto podría un cesionario de un secreto empresarial ampararse en un contrato válido de cesión para tratar de justificar otro secreto que se ha obtenido de forma ilícita. Por este motivo se sugiere su eliminación.</w:t>
            </w: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b/>
                <w:color w:val="000000"/>
                <w:sz w:val="20"/>
                <w:szCs w:val="20"/>
              </w:rPr>
              <w:lastRenderedPageBreak/>
              <w:t xml:space="preserve">Art. 2.1.d): </w:t>
            </w:r>
            <w:r w:rsidRPr="006E5A21">
              <w:rPr>
                <w:rFonts w:eastAsia="Times New Roman" w:cs="Times New Roman"/>
                <w:color w:val="000000"/>
                <w:sz w:val="20"/>
                <w:szCs w:val="20"/>
              </w:rPr>
              <w:t>Su eliminación generaría confusión pues obligadamente el APL debe transponer en su parte procesal la directiva en cuanto a la “</w:t>
            </w:r>
            <w:r w:rsidRPr="006E5A21">
              <w:rPr>
                <w:rFonts w:eastAsia="Times New Roman" w:cs="Times New Roman"/>
                <w:i/>
                <w:color w:val="000000"/>
                <w:sz w:val="20"/>
                <w:szCs w:val="20"/>
              </w:rPr>
              <w:t>cesión o licencia contractual</w:t>
            </w:r>
            <w:r w:rsidRPr="006E5A21">
              <w:rPr>
                <w:rFonts w:eastAsia="Times New Roman" w:cs="Times New Roman"/>
                <w:color w:val="000000"/>
                <w:sz w:val="20"/>
                <w:szCs w:val="20"/>
              </w:rPr>
              <w:t xml:space="preserve">” (Arts. 13 y 14 de la directiva) en los arts. 5 (acciones civiles) y 6 (cálculo </w:t>
            </w:r>
            <w:r w:rsidRPr="006E5A21">
              <w:rPr>
                <w:rFonts w:eastAsia="Times New Roman" w:cs="Times New Roman"/>
                <w:color w:val="000000"/>
                <w:sz w:val="20"/>
                <w:szCs w:val="20"/>
              </w:rPr>
              <w:lastRenderedPageBreak/>
              <w:t>de los daños y perjuicios). Pero éstos, por coherencia sistemática y a efectos aclaratorios, han de encontrar su fundamento sustantivo en el art. 2 del APL por cuanto regula la “</w:t>
            </w:r>
            <w:r w:rsidRPr="006E5A21">
              <w:rPr>
                <w:rFonts w:eastAsia="Times New Roman" w:cs="Times New Roman"/>
                <w:i/>
                <w:color w:val="000000"/>
                <w:sz w:val="20"/>
                <w:szCs w:val="20"/>
              </w:rPr>
              <w:t>Obtención, utilización y revelación lícitas de secretos empresariales</w:t>
            </w:r>
            <w:r w:rsidRPr="006E5A21">
              <w:rPr>
                <w:rFonts w:eastAsia="Times New Roman" w:cs="Times New Roman"/>
                <w:color w:val="000000"/>
                <w:sz w:val="20"/>
                <w:szCs w:val="20"/>
              </w:rPr>
              <w:t>.”</w:t>
            </w:r>
          </w:p>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r w:rsidRPr="006E5A21">
              <w:rPr>
                <w:rFonts w:eastAsia="Times New Roman" w:cs="Times New Roman"/>
                <w:color w:val="000000"/>
                <w:sz w:val="20"/>
                <w:szCs w:val="20"/>
              </w:rPr>
              <w:t>Por tanto, se considera que esta previsión es necesaria pues como se señala en el apartado III de la Exposición de Motivos del APL, “</w:t>
            </w:r>
            <w:r w:rsidRPr="006E5A21">
              <w:rPr>
                <w:rFonts w:eastAsia="Times New Roman" w:cs="Times New Roman"/>
                <w:i/>
                <w:color w:val="000000"/>
                <w:sz w:val="20"/>
                <w:szCs w:val="20"/>
              </w:rPr>
              <w:t>Las disposiciones de esta ley atribuyen al titular del secreto empresarial un derecho subjetivo de naturaleza patrimonial, susceptible de ser objeto de transmisión, y en particular de cesión o transmisión a título definitivo, y,  de licencia o autorización de explotación con el alcance objetivo, material, territorial y temporal que en cada caso se pacte.</w:t>
            </w:r>
            <w:r w:rsidRPr="006E5A21">
              <w:rPr>
                <w:rFonts w:eastAsia="Times New Roman" w:cs="Times New Roman"/>
                <w:color w:val="000000"/>
                <w:sz w:val="20"/>
                <w:szCs w:val="20"/>
              </w:rPr>
              <w:t>”.</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Art. 2.2</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 xml:space="preserve">Art. 2.2: </w:t>
            </w:r>
            <w:r w:rsidRPr="006E5A21">
              <w:rPr>
                <w:rFonts w:eastAsia="Calibri" w:cs="Arial"/>
                <w:sz w:val="20"/>
                <w:szCs w:val="20"/>
              </w:rPr>
              <w:t xml:space="preserve">El </w:t>
            </w:r>
            <w:proofErr w:type="spellStart"/>
            <w:r w:rsidRPr="006E5A21">
              <w:rPr>
                <w:rFonts w:eastAsia="Calibri" w:cs="Arial"/>
                <w:sz w:val="20"/>
                <w:szCs w:val="20"/>
              </w:rPr>
              <w:t>prelegislador</w:t>
            </w:r>
            <w:proofErr w:type="spellEnd"/>
            <w:r w:rsidRPr="006E5A21">
              <w:rPr>
                <w:rFonts w:eastAsia="Calibri" w:cs="Arial"/>
                <w:sz w:val="20"/>
                <w:szCs w:val="20"/>
              </w:rPr>
              <w:t xml:space="preserve">, al determinar las conductas lícitas, se ha ajustado en términos generales a las disposiciones de la directiva. Sin perjuicio de ello, cabe sugerir, como mejora técnica, que al referirse a la ingeniería inversa recoja en su literalidad los términos de la directiva, que condiciona la licitud a no </w:t>
            </w:r>
            <w:r w:rsidRPr="006E5A21">
              <w:rPr>
                <w:rFonts w:eastAsia="Calibri" w:cs="Verdana,Italic"/>
                <w:i/>
                <w:iCs/>
                <w:sz w:val="20"/>
                <w:szCs w:val="20"/>
              </w:rPr>
              <w:t>«[e]</w:t>
            </w:r>
            <w:proofErr w:type="spellStart"/>
            <w:r w:rsidRPr="006E5A21">
              <w:rPr>
                <w:rFonts w:eastAsia="Calibri" w:cs="Verdana,Italic"/>
                <w:i/>
                <w:iCs/>
                <w:sz w:val="20"/>
                <w:szCs w:val="20"/>
              </w:rPr>
              <w:t>star</w:t>
            </w:r>
            <w:proofErr w:type="spellEnd"/>
            <w:r w:rsidRPr="006E5A21">
              <w:rPr>
                <w:rFonts w:eastAsia="Calibri" w:cs="Verdana,Italic"/>
                <w:i/>
                <w:iCs/>
                <w:sz w:val="20"/>
                <w:szCs w:val="20"/>
              </w:rPr>
              <w:t xml:space="preserve"> sujeto a ninguna obligación jurídicamente válida» </w:t>
            </w:r>
            <w:r w:rsidRPr="006E5A21">
              <w:rPr>
                <w:rFonts w:eastAsia="Calibri" w:cs="Arial"/>
                <w:sz w:val="20"/>
                <w:szCs w:val="20"/>
              </w:rPr>
              <w:t>que le impida obtener de este modo el secreto empresarial. Por otra parte, tal y como indica el considerando (18) de la directiva, la consideración de la obtención del secreto como lícita, cuando venga impuesta o permitida por la ley, se debe entender sin perjuicio de cualquier obligación de confidencialidad relativa al secreto empresarial o de cualquier restricción relativa a su utilización que el Derecho de la Unión o el nacional impongan al destinatario o a la persona que obtiene la información. Sería conveniente que tal prevención quedara incorporada a la norma proyectada.</w:t>
            </w:r>
          </w:p>
        </w:tc>
        <w:tc>
          <w:tcPr>
            <w:tcW w:w="5529" w:type="dxa"/>
            <w:shd w:val="clear" w:color="auto" w:fill="auto"/>
            <w:vAlign w:val="center"/>
          </w:tcPr>
          <w:p w:rsidR="00343086" w:rsidRPr="006E5A21" w:rsidRDefault="00343086" w:rsidP="00FB4B5F">
            <w:pPr>
              <w:spacing w:before="120" w:after="120"/>
              <w:jc w:val="both"/>
              <w:rPr>
                <w:rFonts w:eastAsia="Calibri" w:cs="Arial"/>
                <w:bCs/>
                <w:sz w:val="20"/>
                <w:szCs w:val="20"/>
                <w:lang w:val="es-ES_tradnl"/>
              </w:rPr>
            </w:pPr>
            <w:r w:rsidRPr="006E5A21">
              <w:rPr>
                <w:rFonts w:eastAsia="Calibri" w:cs="Times New Roman"/>
                <w:b/>
                <w:sz w:val="20"/>
                <w:szCs w:val="20"/>
              </w:rPr>
              <w:t>Art. 2.2:</w:t>
            </w:r>
            <w:r w:rsidRPr="006E5A21">
              <w:rPr>
                <w:rFonts w:eastAsia="Calibri" w:cs="Times New Roman"/>
                <w:sz w:val="20"/>
                <w:szCs w:val="20"/>
              </w:rPr>
              <w:t xml:space="preserve"> </w:t>
            </w:r>
            <w:r w:rsidRPr="006E5A21">
              <w:rPr>
                <w:rFonts w:eastAsia="Calibri" w:cs="Arial"/>
                <w:bCs/>
                <w:sz w:val="20"/>
                <w:szCs w:val="20"/>
                <w:lang w:val="es-ES_tradnl"/>
              </w:rPr>
              <w:t>SE ACEPTA la precisión aunque no se siga su literalidad en la adaptación del texto.</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lang w:val="es-ES_tradnl"/>
              </w:rPr>
            </w:pPr>
          </w:p>
        </w:tc>
      </w:tr>
      <w:tr w:rsidR="00343086" w:rsidRPr="006E5A21" w:rsidTr="0082764F">
        <w:trPr>
          <w:trHeight w:val="738"/>
        </w:trPr>
        <w:tc>
          <w:tcPr>
            <w:tcW w:w="1418" w:type="dxa"/>
            <w:vMerge w:val="restart"/>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Cs/>
                <w:sz w:val="20"/>
                <w:szCs w:val="20"/>
              </w:rPr>
            </w:pPr>
            <w:r w:rsidRPr="006E5A21">
              <w:rPr>
                <w:rFonts w:eastAsia="Calibri" w:cs="Times New Roman"/>
                <w:b/>
                <w:sz w:val="20"/>
                <w:szCs w:val="20"/>
              </w:rPr>
              <w:lastRenderedPageBreak/>
              <w:t>Art. 2.3</w:t>
            </w:r>
          </w:p>
        </w:tc>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CNMC</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2.3:</w:t>
            </w:r>
            <w:r w:rsidRPr="006E5A21">
              <w:rPr>
                <w:rFonts w:eastAsia="Calibri" w:cs="Arial"/>
                <w:sz w:val="20"/>
                <w:szCs w:val="20"/>
              </w:rPr>
              <w:t xml:space="preserve"> Como novedad destacable hay que señalar la protección de la figura de los denunciantes o “</w:t>
            </w:r>
            <w:proofErr w:type="spellStart"/>
            <w:r w:rsidRPr="006E5A21">
              <w:rPr>
                <w:rFonts w:eastAsia="Calibri" w:cs="Arial"/>
                <w:sz w:val="20"/>
                <w:szCs w:val="20"/>
              </w:rPr>
              <w:t>whistleblowers</w:t>
            </w:r>
            <w:proofErr w:type="spellEnd"/>
            <w:r w:rsidRPr="006E5A21">
              <w:rPr>
                <w:rFonts w:eastAsia="Calibri" w:cs="Arial"/>
                <w:sz w:val="20"/>
                <w:szCs w:val="20"/>
              </w:rPr>
              <w:t xml:space="preserve">” frente a los que no procederán acciones civiles cuando hayan obtenido, utilizado o revelado un secreto con la finalidad de descubrir, en defensa del interés general, alguna falta, irregularidad o actividad ilegal o con el fin de proteger un interés legítimo reconocido por la ley (art. 2.3 del APL).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Sin embargo, no parece garantizarse la confidencialidad de su identidad pese a lo delicado de su situación, especialmente en aquellos supuestos en que pueda existir una relación laboral. En otros supuestos contemplados por el ordenamiento jurídico (blanqueo de capitales…) queda garantizada la confidencialidad del sujeto denunciante por lo que parece razonable que al  menos se fundamenten las razones que explicarían por qué no se opta por esa protección.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Por otro lado, desde la óptica de las funciones que atañen a esta Comisión, debe tenerse en cuenta que las denuncias de conductas anticompetitivas –que entendemos sería una información que no sería susceptible de ser considerada secreto empresarial– seguirían rigiéndose por su normativa sectorial, otorgándose al denunciante las garantías que se le atribuyen por la normativa específica de defensa de la competencia (Ley 15/2007 de 3 de julio de defensa de la competencia y Real Decreto 261/2008, de 22 de febrero, por el que se aprueba el Reglamento de Defensa de la Competencia).</w:t>
            </w:r>
          </w:p>
        </w:tc>
        <w:tc>
          <w:tcPr>
            <w:tcW w:w="5529" w:type="dxa"/>
            <w:shd w:val="clear" w:color="auto" w:fill="auto"/>
            <w:vAlign w:val="center"/>
          </w:tcPr>
          <w:p w:rsidR="00343086" w:rsidRPr="006E5A21" w:rsidRDefault="00343086" w:rsidP="000B24DA">
            <w:pPr>
              <w:spacing w:before="120" w:after="120" w:line="240" w:lineRule="auto"/>
              <w:ind w:right="175"/>
              <w:contextualSpacing/>
              <w:jc w:val="both"/>
              <w:rPr>
                <w:rFonts w:eastAsia="Times New Roman" w:cs="Times New Roman"/>
                <w:color w:val="000000"/>
                <w:sz w:val="20"/>
                <w:szCs w:val="20"/>
              </w:rPr>
            </w:pPr>
            <w:r w:rsidRPr="006E5A21">
              <w:rPr>
                <w:rFonts w:eastAsia="Calibri" w:cs="Times New Roman"/>
                <w:b/>
                <w:sz w:val="20"/>
                <w:szCs w:val="20"/>
              </w:rPr>
              <w:t>Art. 2.3:</w:t>
            </w:r>
            <w:r w:rsidRPr="006E5A21">
              <w:rPr>
                <w:rFonts w:eastAsia="Calibri" w:cs="Times New Roman"/>
                <w:sz w:val="20"/>
                <w:szCs w:val="20"/>
              </w:rPr>
              <w:t xml:space="preserve"> </w:t>
            </w:r>
            <w:r w:rsidRPr="006E5A21">
              <w:rPr>
                <w:rFonts w:eastAsia="Times New Roman" w:cs="Times New Roman"/>
                <w:color w:val="000000"/>
                <w:sz w:val="20"/>
                <w:szCs w:val="20"/>
              </w:rPr>
              <w:t xml:space="preserve">Los principios de </w:t>
            </w:r>
            <w:proofErr w:type="spellStart"/>
            <w:r w:rsidRPr="006E5A21">
              <w:rPr>
                <w:rFonts w:eastAsia="Times New Roman" w:cs="Times New Roman"/>
                <w:color w:val="000000"/>
                <w:sz w:val="20"/>
                <w:szCs w:val="20"/>
              </w:rPr>
              <w:t>better</w:t>
            </w:r>
            <w:proofErr w:type="spellEnd"/>
            <w:r w:rsidRPr="006E5A21">
              <w:rPr>
                <w:rFonts w:eastAsia="Times New Roman" w:cs="Times New Roman"/>
                <w:color w:val="000000"/>
                <w:sz w:val="20"/>
                <w:szCs w:val="20"/>
              </w:rPr>
              <w:t xml:space="preserve"> </w:t>
            </w:r>
            <w:proofErr w:type="spellStart"/>
            <w:r w:rsidRPr="006E5A21">
              <w:rPr>
                <w:rFonts w:eastAsia="Times New Roman" w:cs="Times New Roman"/>
                <w:color w:val="000000"/>
                <w:sz w:val="20"/>
                <w:szCs w:val="20"/>
              </w:rPr>
              <w:t>regulation</w:t>
            </w:r>
            <w:proofErr w:type="spellEnd"/>
            <w:r w:rsidRPr="006E5A21">
              <w:rPr>
                <w:rFonts w:eastAsia="Times New Roman" w:cs="Times New Roman"/>
                <w:color w:val="000000"/>
                <w:sz w:val="20"/>
                <w:szCs w:val="20"/>
              </w:rPr>
              <w:t>,  simplificación y mínima intervención legislativa aconsejan realizar una interpretación sistemática del ordenamiento</w:t>
            </w:r>
            <w:r w:rsidR="00BF2196" w:rsidRPr="006E5A21">
              <w:rPr>
                <w:rFonts w:eastAsia="Times New Roman" w:cs="Times New Roman"/>
                <w:color w:val="000000"/>
                <w:sz w:val="20"/>
                <w:szCs w:val="20"/>
              </w:rPr>
              <w:t xml:space="preserve">. </w:t>
            </w:r>
            <w:r w:rsidR="000B24DA" w:rsidRPr="006E5A21">
              <w:rPr>
                <w:rFonts w:eastAsia="Times New Roman" w:cs="Times New Roman"/>
                <w:color w:val="000000"/>
                <w:sz w:val="20"/>
                <w:szCs w:val="20"/>
              </w:rPr>
              <w:t>Por ello</w:t>
            </w:r>
            <w:r w:rsidR="00BF2196" w:rsidRPr="006E5A21">
              <w:rPr>
                <w:rFonts w:eastAsia="Times New Roman" w:cs="Times New Roman"/>
                <w:color w:val="000000"/>
                <w:sz w:val="20"/>
                <w:szCs w:val="20"/>
              </w:rPr>
              <w:t xml:space="preserve">, los </w:t>
            </w:r>
            <w:r w:rsidRPr="006E5A21">
              <w:rPr>
                <w:rFonts w:eastAsia="Times New Roman" w:cs="Times New Roman"/>
                <w:color w:val="000000"/>
                <w:sz w:val="20"/>
                <w:szCs w:val="20"/>
              </w:rPr>
              <w:t>operadores deberán tener en cuenta</w:t>
            </w:r>
            <w:r w:rsidR="000B24DA" w:rsidRPr="006E5A21">
              <w:rPr>
                <w:rFonts w:eastAsia="Times New Roman" w:cs="Times New Roman"/>
                <w:color w:val="000000"/>
                <w:sz w:val="20"/>
                <w:szCs w:val="20"/>
              </w:rPr>
              <w:t>,</w:t>
            </w:r>
            <w:r w:rsidR="00BF2196" w:rsidRPr="006E5A21">
              <w:rPr>
                <w:rFonts w:eastAsia="Times New Roman" w:cs="Times New Roman"/>
                <w:color w:val="000000"/>
                <w:sz w:val="20"/>
                <w:szCs w:val="20"/>
              </w:rPr>
              <w:t xml:space="preserve"> además</w:t>
            </w:r>
            <w:r w:rsidR="000B24DA" w:rsidRPr="006E5A21">
              <w:rPr>
                <w:rFonts w:eastAsia="Times New Roman" w:cs="Times New Roman"/>
                <w:color w:val="000000"/>
                <w:sz w:val="20"/>
                <w:szCs w:val="20"/>
              </w:rPr>
              <w:t xml:space="preserve"> de la nueva regulación,</w:t>
            </w:r>
            <w:r w:rsidRPr="006E5A21">
              <w:rPr>
                <w:rFonts w:eastAsia="Times New Roman" w:cs="Times New Roman"/>
                <w:color w:val="000000"/>
                <w:sz w:val="20"/>
                <w:szCs w:val="20"/>
              </w:rPr>
              <w:t xml:space="preserve"> el ordenamiento existente no modificado por el presente APL. </w:t>
            </w:r>
            <w:r w:rsidR="00BF2196" w:rsidRPr="006E5A21">
              <w:rPr>
                <w:rFonts w:eastAsia="Times New Roman" w:cs="Times New Roman"/>
                <w:color w:val="000000"/>
                <w:sz w:val="20"/>
                <w:szCs w:val="20"/>
              </w:rPr>
              <w:t>En este sentido</w:t>
            </w:r>
            <w:r w:rsidRPr="006E5A21">
              <w:rPr>
                <w:rFonts w:eastAsia="Times New Roman" w:cs="Times New Roman"/>
                <w:color w:val="000000"/>
                <w:sz w:val="20"/>
                <w:szCs w:val="20"/>
              </w:rPr>
              <w:t xml:space="preserve">, además de las normas citadas por la propia CNMC, puede recordarse el art. 31 bis CP </w:t>
            </w:r>
            <w:r w:rsidR="000B24DA" w:rsidRPr="006E5A21">
              <w:rPr>
                <w:rFonts w:eastAsia="Times New Roman" w:cs="Times New Roman"/>
                <w:color w:val="000000"/>
                <w:sz w:val="20"/>
                <w:szCs w:val="20"/>
              </w:rPr>
              <w:t>-</w:t>
            </w:r>
            <w:r w:rsidRPr="006E5A21">
              <w:rPr>
                <w:rFonts w:eastAsia="Times New Roman" w:cs="Times New Roman"/>
                <w:color w:val="000000"/>
                <w:sz w:val="20"/>
                <w:szCs w:val="20"/>
              </w:rPr>
              <w:t>por cuanto establece obligaciones a las empresas</w:t>
            </w:r>
            <w:r w:rsidR="000B24DA" w:rsidRPr="006E5A21">
              <w:rPr>
                <w:rFonts w:eastAsia="Times New Roman" w:cs="Times New Roman"/>
                <w:color w:val="000000"/>
                <w:sz w:val="20"/>
                <w:szCs w:val="20"/>
              </w:rPr>
              <w:t>-</w:t>
            </w:r>
            <w:r w:rsidRPr="006E5A21">
              <w:rPr>
                <w:rFonts w:eastAsia="Times New Roman" w:cs="Times New Roman"/>
                <w:color w:val="000000"/>
                <w:sz w:val="20"/>
                <w:szCs w:val="20"/>
              </w:rPr>
              <w:t xml:space="preserve"> o </w:t>
            </w:r>
            <w:r w:rsidR="00BF2196" w:rsidRPr="006E5A21">
              <w:rPr>
                <w:rFonts w:eastAsia="Times New Roman" w:cs="Times New Roman"/>
                <w:color w:val="000000"/>
                <w:sz w:val="20"/>
                <w:szCs w:val="20"/>
              </w:rPr>
              <w:t>el art. 24 d</w:t>
            </w:r>
            <w:r w:rsidRPr="006E5A21">
              <w:rPr>
                <w:rFonts w:eastAsia="Times New Roman" w:cs="Times New Roman"/>
                <w:color w:val="000000"/>
                <w:sz w:val="20"/>
                <w:szCs w:val="20"/>
              </w:rPr>
              <w:t>el proyecto de LO de protección de datos de carácter personal (BOCG 24.11.2017)</w:t>
            </w:r>
            <w:r w:rsidR="00BF2196" w:rsidRPr="006E5A21">
              <w:rPr>
                <w:sz w:val="20"/>
                <w:szCs w:val="20"/>
              </w:rPr>
              <w:t xml:space="preserve"> </w:t>
            </w:r>
            <w:r w:rsidR="00BF2196" w:rsidRPr="006E5A21">
              <w:rPr>
                <w:rFonts w:eastAsia="Times New Roman" w:cs="Times New Roman"/>
                <w:color w:val="000000"/>
                <w:sz w:val="20"/>
                <w:szCs w:val="20"/>
              </w:rPr>
              <w:t>sobre sistemas e información de denuncias</w:t>
            </w:r>
            <w:r w:rsidRPr="006E5A21">
              <w:rPr>
                <w:rFonts w:eastAsia="Times New Roman" w:cs="Times New Roman"/>
                <w:color w:val="000000"/>
                <w:sz w:val="20"/>
                <w:szCs w:val="20"/>
              </w:rPr>
              <w:t xml:space="preserve">. </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Art. 2.3.a):</w:t>
            </w:r>
            <w:r w:rsidRPr="006E5A21">
              <w:rPr>
                <w:rFonts w:eastAsia="Calibri" w:cs="Arial"/>
                <w:sz w:val="20"/>
                <w:szCs w:val="20"/>
              </w:rPr>
              <w:t xml:space="preserve"> deja fuera de la protección que dispensa la Ley la obtención, utilización o revelación de un secreto empresarial que ha tenido lugar en ejercicio del derecho a la libertad de expresión e información constitucionalmente reconocido, incluido el respeto a la libertad y al pluralismo de los medios de comunicación.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Ha de incidirse en que, por imperativo de los principios de autonomía y de primacía del ordenamiento jurídico de la UE, el objeto y el alcance de la tutela del derecho a la libertad de expresión e información se han de medir con arreglo a los cánones que se derivan de su regulación en la CDFUE y en el CEDH, y de la interpretación de los tribunales supranacionales, del TEDH y del TJUE, antes que de su consideración de derecho fundamental constitucionalmente consagrado y de los parámetros de tutela establecidos por la jurisprudencia constitucional. Por consiguiente, no cabe aplicar estándares nacionales de protección de derechos fundamentales de forma</w:t>
            </w:r>
          </w:p>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proofErr w:type="gramStart"/>
            <w:r w:rsidRPr="006E5A21">
              <w:rPr>
                <w:rFonts w:eastAsia="Calibri" w:cs="Arial"/>
                <w:sz w:val="20"/>
                <w:szCs w:val="20"/>
              </w:rPr>
              <w:t>que</w:t>
            </w:r>
            <w:proofErr w:type="gramEnd"/>
            <w:r w:rsidRPr="006E5A21">
              <w:rPr>
                <w:rFonts w:eastAsia="Calibri" w:cs="Arial"/>
                <w:sz w:val="20"/>
                <w:szCs w:val="20"/>
              </w:rPr>
              <w:t xml:space="preserve"> quede afectado el nivel de protección previsto por la Carta, según su interpretación por el Tribunal de Justicia, y la primacía, la unidad y la efectividad del Derecho de la Unión.</w:t>
            </w:r>
          </w:p>
        </w:tc>
        <w:tc>
          <w:tcPr>
            <w:tcW w:w="5529" w:type="dxa"/>
            <w:shd w:val="clear" w:color="auto" w:fill="auto"/>
            <w:vAlign w:val="center"/>
          </w:tcPr>
          <w:p w:rsidR="00343086" w:rsidRPr="006E5A21" w:rsidRDefault="00343086" w:rsidP="00FB4B5F">
            <w:pPr>
              <w:spacing w:before="120" w:after="120"/>
              <w:jc w:val="both"/>
              <w:rPr>
                <w:rFonts w:eastAsia="Calibri" w:cs="Times New Roman"/>
                <w:b/>
                <w:sz w:val="20"/>
                <w:szCs w:val="20"/>
              </w:rPr>
            </w:pPr>
            <w:r w:rsidRPr="006E5A21">
              <w:rPr>
                <w:rFonts w:eastAsia="Calibri" w:cs="Times New Roman"/>
                <w:b/>
                <w:sz w:val="20"/>
                <w:szCs w:val="20"/>
              </w:rPr>
              <w:lastRenderedPageBreak/>
              <w:t xml:space="preserve">Art. 2.3.a): </w:t>
            </w:r>
            <w:r w:rsidRPr="006E5A21">
              <w:rPr>
                <w:rFonts w:eastAsia="Calibri" w:cs="Times New Roman"/>
                <w:sz w:val="20"/>
                <w:szCs w:val="20"/>
              </w:rPr>
              <w:t>SE ACEPTA eliminándose del precepto el inciso “</w:t>
            </w:r>
            <w:r w:rsidRPr="006E5A21">
              <w:rPr>
                <w:rFonts w:eastAsia="Calibri" w:cs="Times New Roman"/>
                <w:i/>
                <w:sz w:val="20"/>
                <w:szCs w:val="20"/>
              </w:rPr>
              <w:t>constitucionalmente reconocido</w:t>
            </w:r>
            <w:r w:rsidRPr="006E5A21">
              <w:rPr>
                <w:rFonts w:eastAsia="Calibri" w:cs="Times New Roman"/>
                <w:sz w:val="20"/>
                <w:szCs w:val="20"/>
              </w:rPr>
              <w:t>”.</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2.3.b):</w:t>
            </w:r>
            <w:r w:rsidRPr="006E5A21">
              <w:rPr>
                <w:rFonts w:eastAsia="Calibri" w:cs="Arial"/>
                <w:sz w:val="20"/>
                <w:szCs w:val="20"/>
              </w:rPr>
              <w:t xml:space="preserve"> quedan al margen de la protección los actos de obtención, utilización o revelación de secretos empresariales que hayan tenido lugar con la finalidad de descubrir, en defensa del interés general, alguna falta, irregularidad o actividad ilegal. Se trata, por tanto, de proteger el interés general mediante la denuncia de irregularidades o actividades ilegales (</w:t>
            </w:r>
            <w:proofErr w:type="spellStart"/>
            <w:r w:rsidRPr="006E5A21">
              <w:rPr>
                <w:rFonts w:eastAsia="Calibri" w:cs="Verdana,Italic"/>
                <w:i/>
                <w:iCs/>
                <w:sz w:val="20"/>
                <w:szCs w:val="20"/>
              </w:rPr>
              <w:t>whistleblowing</w:t>
            </w:r>
            <w:proofErr w:type="spellEnd"/>
            <w:r w:rsidRPr="006E5A21">
              <w:rPr>
                <w:rFonts w:eastAsia="Calibri" w:cs="Arial"/>
                <w:sz w:val="20"/>
                <w:szCs w:val="20"/>
              </w:rPr>
              <w:t xml:space="preserve">). En el considerando (20) de la directiva se precisa que la protección de los secretos empresariales no debe ampliarse a los casos en que la revelación sirva al interés público, en la medida en que permita poner al descubierto una falta, irregularidad o actividad ilegal </w:t>
            </w:r>
            <w:r w:rsidRPr="006E5A21">
              <w:rPr>
                <w:rFonts w:eastAsia="Calibri" w:cs="Verdana,Italic"/>
                <w:i/>
                <w:iCs/>
                <w:sz w:val="20"/>
                <w:szCs w:val="20"/>
              </w:rPr>
              <w:t>que guarden relación directa con dicho secreto comercial</w:t>
            </w:r>
            <w:r w:rsidRPr="006E5A21">
              <w:rPr>
                <w:rFonts w:eastAsia="Calibri" w:cs="Arial"/>
                <w:sz w:val="20"/>
                <w:szCs w:val="20"/>
              </w:rPr>
              <w:t>, inciso este último que sería conveniente trasladar a la norma proyectada, por cuanto sirve para delimitar el ámbito del supuesto de exclusión de la protección de que se trata.</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Art.2.3.b):</w:t>
            </w:r>
            <w:r w:rsidRPr="006E5A21">
              <w:rPr>
                <w:rFonts w:eastAsia="Calibri" w:cs="Arial"/>
                <w:sz w:val="20"/>
                <w:szCs w:val="20"/>
              </w:rPr>
              <w:t xml:space="preserve"> SE ACEPTA, incluyéndose en el precepto el inciso propuesto.</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Art. 3</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 xml:space="preserve">Art. 3: </w:t>
            </w:r>
            <w:r w:rsidRPr="006E5A21">
              <w:rPr>
                <w:rFonts w:eastAsia="Calibri" w:cs="Arial"/>
                <w:sz w:val="20"/>
                <w:szCs w:val="20"/>
              </w:rPr>
              <w:t>regula, bajo este título, la violación de secretos empresariales. Para mantener una correlación con el enunciado del artículo anterior, y respetar el del artículo 4 DSC, parece más adecuado</w:t>
            </w:r>
            <w:r w:rsidRPr="006E5A21">
              <w:rPr>
                <w:rFonts w:eastAsia="Calibri" w:cs="Arial"/>
                <w:b/>
                <w:sz w:val="20"/>
                <w:szCs w:val="20"/>
              </w:rPr>
              <w:t xml:space="preserve"> </w:t>
            </w:r>
            <w:r w:rsidRPr="006E5A21">
              <w:rPr>
                <w:rFonts w:cs="Verdana"/>
                <w:sz w:val="20"/>
                <w:szCs w:val="20"/>
              </w:rPr>
              <w:t>regula, bajo este título, la violación de secretos empresariales. Para mantener una correlación con el enunciado del artículo anterior, y respetar el del artículo 4 DSC, parece más adecuado intitular el artículo bajo el enunciado de “Obtención, utilización y revelación ilícitas de secretos empresariales”.</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3:</w:t>
            </w:r>
            <w:r w:rsidRPr="006E5A21">
              <w:rPr>
                <w:rFonts w:eastAsia="Calibri" w:cs="Arial"/>
                <w:sz w:val="20"/>
                <w:szCs w:val="20"/>
              </w:rPr>
              <w:t xml:space="preserve"> No cabe atender la sugerencia realizada pues, aunque efectivamente ello sería más respetuoso con el art. 4 de la directiva, resulta más conforme con nuestra tradición jurídica sustituir la expresión empleada por la directiva por la de “violación de secretos empresariales” siguiendo el esquema empleado, por ejemplo, por la LP (como por otra parte se ha hecho en aras a una mejor comprensión del texto de transposición respecto de los binomios comercial/empresarial y poseedor/titular).</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Art. 4</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4:</w:t>
            </w:r>
            <w:r w:rsidRPr="006E5A21">
              <w:rPr>
                <w:rFonts w:eastAsia="Calibri" w:cs="Arial"/>
                <w:sz w:val="20"/>
                <w:szCs w:val="20"/>
              </w:rPr>
              <w:t xml:space="preserve"> La referencia a los terceros adquirentes de buena fe no resulta del todo adecuada. Se ha buscado una correlación con la protección civil del tercer adquirente, si bien en este caso la protección no es completa, sino tan solo limitada, en el sentido de posibilitar que, a su instancia, pueda ser mantenido en la posesión del secreto empresarial a cambio de indemnizar al titular legítimo. Por otra parte, el empleo del  término “tercer adquirente” puede resultar equívoco e inducir a error, pues quien ha obtenido de un infractor el secreto empresarial no es propiamente un tercero, salvo que se entienda referida dicha condición frente al titular legítimo. Parece más aconsejable ceñirse a los términos de la Directiva, y eludir la expresión “tercer adquirente de buena fe”, contemplando la tutela del titular legítimo frente a quien, en el momento de la utilización o revelación no sabía o, en las circunstancias del caso, no hubiera debido saber que había obtenido el secreto de una persona que lo utilizaba o revelaba ilícitamente.</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4:</w:t>
            </w:r>
            <w:r w:rsidRPr="006E5A21">
              <w:rPr>
                <w:rFonts w:eastAsia="Calibri" w:cs="Arial"/>
                <w:sz w:val="20"/>
                <w:szCs w:val="20"/>
              </w:rPr>
              <w:t xml:space="preserve"> Se ha optado introducir la expresión “</w:t>
            </w:r>
            <w:r w:rsidRPr="006E5A21">
              <w:rPr>
                <w:rFonts w:eastAsia="Calibri" w:cs="Arial"/>
                <w:i/>
                <w:sz w:val="20"/>
                <w:szCs w:val="20"/>
              </w:rPr>
              <w:t>tercer adquirente de buena fe</w:t>
            </w:r>
            <w:r w:rsidRPr="006E5A21">
              <w:rPr>
                <w:rFonts w:eastAsia="Calibri" w:cs="Arial"/>
                <w:sz w:val="20"/>
                <w:szCs w:val="20"/>
              </w:rPr>
              <w:t>” por resultar de mayor claridad y facilitar la comprensión de la transposición pues, como se explica en la MAIN, “</w:t>
            </w:r>
            <w:r w:rsidRPr="006E5A21">
              <w:rPr>
                <w:rFonts w:eastAsia="Calibri" w:cs="Arial"/>
                <w:i/>
                <w:sz w:val="20"/>
                <w:szCs w:val="20"/>
              </w:rPr>
              <w:t>es importante tener en cuenta que la directiva solamente concibe como ilícita la adquisición de mala fe, (...) (artículo 4.4). Ahora bien, el artículo 13.3 parte de la premisa de que las acciones de protección de los secretos empresariales pueden dirigirse también frente al adquirente de buena fe (...), por lo que establece reglas especiales para este supuesto, particularmente la posibilidad de que dicho adquirente de buena fe pueda solicitar la sustitución de las medidas acordadas por una indemnización pecuniaria, que además tendría como límite el coste en que habría incurrido de haber solicitado una licencia del titular</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En consecuencia, el APL ha dedicado especial atención a la hora de mantener su coherencia sistemática en relación con el tratamiento de los “</w:t>
            </w:r>
            <w:r w:rsidRPr="006E5A21">
              <w:rPr>
                <w:rFonts w:eastAsia="Calibri" w:cs="Arial"/>
                <w:i/>
                <w:sz w:val="20"/>
                <w:szCs w:val="20"/>
              </w:rPr>
              <w:t>terceros adquirentes de buena fe</w:t>
            </w:r>
            <w:r w:rsidRPr="006E5A21">
              <w:rPr>
                <w:rFonts w:eastAsia="Calibri" w:cs="Arial"/>
                <w:sz w:val="20"/>
                <w:szCs w:val="20"/>
              </w:rPr>
              <w:t>”, para lo que se han incluido precisiones a este respecto en dos de sus preceptos (arts. 1.2 y 4), además de lo dispuesto en el art. 5.7 por cuanto transpone el art. 13.3 de la directiva.</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Este complejo sistema no se entendería por tanto sin recoger </w:t>
            </w:r>
            <w:r w:rsidRPr="006E5A21">
              <w:rPr>
                <w:rFonts w:eastAsia="Calibri" w:cs="Arial"/>
                <w:sz w:val="20"/>
                <w:szCs w:val="20"/>
              </w:rPr>
              <w:lastRenderedPageBreak/>
              <w:t>una expresión única que sirviera de paraguas como es la de “</w:t>
            </w:r>
            <w:r w:rsidRPr="006E5A21">
              <w:rPr>
                <w:rFonts w:eastAsia="Calibri" w:cs="Arial"/>
                <w:i/>
                <w:sz w:val="20"/>
                <w:szCs w:val="20"/>
              </w:rPr>
              <w:t>tercer adquirente de buena fe</w:t>
            </w:r>
            <w:r w:rsidRPr="006E5A21">
              <w:rPr>
                <w:rFonts w:eastAsia="Calibri" w:cs="Arial"/>
                <w:sz w:val="20"/>
                <w:szCs w:val="20"/>
              </w:rPr>
              <w:t>”.</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Art. 7 de la directiva</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7 de la directiva:</w:t>
            </w:r>
            <w:r w:rsidRPr="006E5A21">
              <w:rPr>
                <w:rFonts w:eastAsia="Calibri" w:cs="Arial"/>
                <w:sz w:val="20"/>
                <w:szCs w:val="20"/>
              </w:rPr>
              <w:t xml:space="preserve"> no incorporado al texto del APL por entenderse colmado por el art. 247 LEC. No obstante, el CGPJ señala que debería considerarse el interés particular de quien ha sido objeto injustificadamente del ejercicio malicioso o abusivo de las acciones de protección del secreto empresarial, y prever la difusión de la resolución que inadmita la pretensión ejercida de forma abusiva o de mala fe, tal y como autoriza el apartado segundo del artículo 7 de la directiva.</w:t>
            </w:r>
          </w:p>
        </w:tc>
        <w:tc>
          <w:tcPr>
            <w:tcW w:w="5529" w:type="dxa"/>
            <w:shd w:val="clear" w:color="auto" w:fill="auto"/>
            <w:vAlign w:val="center"/>
          </w:tcPr>
          <w:p w:rsidR="00343086" w:rsidRPr="006E5A21" w:rsidRDefault="00343086" w:rsidP="00246DC2">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7 de la directiva</w:t>
            </w:r>
            <w:r w:rsidRPr="006E5A21">
              <w:rPr>
                <w:rFonts w:eastAsia="Calibri" w:cs="Arial"/>
                <w:sz w:val="20"/>
                <w:szCs w:val="20"/>
              </w:rPr>
              <w:t xml:space="preserve">: Los principios de </w:t>
            </w:r>
            <w:proofErr w:type="spellStart"/>
            <w:r w:rsidRPr="006E5A21">
              <w:rPr>
                <w:rFonts w:eastAsia="Calibri" w:cs="Arial"/>
                <w:sz w:val="20"/>
                <w:szCs w:val="20"/>
              </w:rPr>
              <w:t>better</w:t>
            </w:r>
            <w:proofErr w:type="spellEnd"/>
            <w:r w:rsidRPr="006E5A21">
              <w:rPr>
                <w:rFonts w:eastAsia="Calibri" w:cs="Arial"/>
                <w:sz w:val="20"/>
                <w:szCs w:val="20"/>
              </w:rPr>
              <w:t xml:space="preserve"> </w:t>
            </w:r>
            <w:proofErr w:type="spellStart"/>
            <w:r w:rsidRPr="006E5A21">
              <w:rPr>
                <w:rFonts w:eastAsia="Calibri" w:cs="Arial"/>
                <w:sz w:val="20"/>
                <w:szCs w:val="20"/>
              </w:rPr>
              <w:t>regulation</w:t>
            </w:r>
            <w:proofErr w:type="spellEnd"/>
            <w:r w:rsidRPr="006E5A21">
              <w:rPr>
                <w:rFonts w:eastAsia="Calibri" w:cs="Arial"/>
                <w:sz w:val="20"/>
                <w:szCs w:val="20"/>
              </w:rPr>
              <w:t xml:space="preserve">, simplificación y mínima intervención legislativa aconsejan realizar una interpretación sistemática del ordenamiento </w:t>
            </w:r>
            <w:r w:rsidR="001725A3" w:rsidRPr="006E5A21">
              <w:rPr>
                <w:rFonts w:eastAsia="Calibri" w:cs="Arial"/>
                <w:sz w:val="20"/>
                <w:szCs w:val="20"/>
              </w:rPr>
              <w:t>en su conjunto</w:t>
            </w:r>
            <w:r w:rsidRPr="006E5A21">
              <w:rPr>
                <w:rFonts w:eastAsia="Calibri" w:cs="Arial"/>
                <w:sz w:val="20"/>
                <w:szCs w:val="20"/>
              </w:rPr>
              <w:t xml:space="preserve">. </w:t>
            </w:r>
            <w:r w:rsidR="001725A3" w:rsidRPr="006E5A21">
              <w:rPr>
                <w:rFonts w:eastAsia="Calibri" w:cs="Arial"/>
                <w:sz w:val="20"/>
                <w:szCs w:val="20"/>
              </w:rPr>
              <w:t xml:space="preserve">De ahí que </w:t>
            </w:r>
            <w:r w:rsidRPr="006E5A21">
              <w:rPr>
                <w:rFonts w:eastAsia="Calibri" w:cs="Arial"/>
                <w:sz w:val="20"/>
                <w:szCs w:val="20"/>
              </w:rPr>
              <w:t>la propuesta ha</w:t>
            </w:r>
            <w:r w:rsidR="001725A3" w:rsidRPr="006E5A21">
              <w:rPr>
                <w:rFonts w:eastAsia="Calibri" w:cs="Arial"/>
                <w:sz w:val="20"/>
                <w:szCs w:val="20"/>
              </w:rPr>
              <w:t>ya</w:t>
            </w:r>
            <w:r w:rsidRPr="006E5A21">
              <w:rPr>
                <w:rFonts w:eastAsia="Calibri" w:cs="Arial"/>
                <w:sz w:val="20"/>
                <w:szCs w:val="20"/>
              </w:rPr>
              <w:t xml:space="preserve"> optado por seguir las reglas generales contenidas en la LEC sin introducir nuevos supuestos aunque </w:t>
            </w:r>
            <w:r w:rsidR="00246DC2" w:rsidRPr="006E5A21">
              <w:rPr>
                <w:rFonts w:eastAsia="Calibri" w:cs="Arial"/>
                <w:sz w:val="20"/>
                <w:szCs w:val="20"/>
              </w:rPr>
              <w:t xml:space="preserve">la directiva </w:t>
            </w:r>
            <w:r w:rsidRPr="006E5A21">
              <w:rPr>
                <w:rFonts w:eastAsia="Calibri" w:cs="Arial"/>
                <w:sz w:val="20"/>
                <w:szCs w:val="20"/>
              </w:rPr>
              <w:t>los permita (que no obliga).</w:t>
            </w:r>
          </w:p>
        </w:tc>
      </w:tr>
      <w:tr w:rsidR="00343086" w:rsidRPr="006E5A21" w:rsidTr="0082764F">
        <w:trPr>
          <w:trHeight w:val="738"/>
        </w:trPr>
        <w:tc>
          <w:tcPr>
            <w:tcW w:w="1418" w:type="dxa"/>
            <w:vMerge w:val="restart"/>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Calibri" w:cs="Times New Roman"/>
                <w:b/>
                <w:sz w:val="20"/>
                <w:szCs w:val="20"/>
              </w:rPr>
              <w:t>Art. 5</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OEPM</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w:t>
            </w:r>
            <w:r w:rsidRPr="006E5A21">
              <w:rPr>
                <w:rFonts w:eastAsia="Calibri" w:cs="Arial"/>
                <w:sz w:val="20"/>
                <w:szCs w:val="20"/>
              </w:rPr>
              <w:t xml:space="preserve"> se sugiere incluir un nuevo apartado 2, y renumerar los siguientes para incluir la posible acumulación de las acciones contra los actos de violación de secretos empresariales con las de infracción de derechos de propiedad industrial, circunstancia bastante frecuente. Se propone la siguiente redacción:</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w:t>
            </w:r>
            <w:r w:rsidRPr="006E5A21">
              <w:rPr>
                <w:rFonts w:eastAsia="Calibri" w:cs="Arial"/>
                <w:i/>
                <w:sz w:val="20"/>
                <w:szCs w:val="20"/>
              </w:rPr>
              <w:t>2. Las acciones descritas en el ordinal anterior son compatibles y acumulables con acciones por violación de otros derechos de propiedad industrial</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b/>
                <w:color w:val="000000"/>
                <w:sz w:val="20"/>
                <w:szCs w:val="20"/>
              </w:rPr>
              <w:t xml:space="preserve">Art. 5: </w:t>
            </w:r>
            <w:r w:rsidRPr="006E5A21">
              <w:rPr>
                <w:rFonts w:eastAsia="Times New Roman" w:cs="Times New Roman"/>
                <w:color w:val="000000"/>
                <w:sz w:val="20"/>
                <w:szCs w:val="20"/>
              </w:rPr>
              <w:t xml:space="preserve">La propuesta, a efectos aclaratorios, no parece necesaria. La acumulación de acciones está regulada de forma abierta y permisiva en los arts. 71 a 73 LEC por lo que incluir una norma que establezca la posibilidad de acumulación con las acciones por infracción de derechos de propiedad industrial solo induciría a confusión. Lo que la LEC prohíbe es la acumulación de acciones incompatibles entre sí, por lo que establecer expresamente que son compatibles en este caso concreto no aporta, pues lo son por sí mismas. </w:t>
            </w:r>
          </w:p>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r w:rsidRPr="006E5A21">
              <w:rPr>
                <w:rFonts w:eastAsia="Times New Roman" w:cs="Times New Roman"/>
                <w:color w:val="000000"/>
                <w:sz w:val="20"/>
                <w:szCs w:val="20"/>
              </w:rPr>
              <w:t>En definitiva, en una interpretación sistemática del ordenamiento, la acumulación de acciones deberá seguir las reglas procesales generales de los arts. 71 a 73 de la LEC</w:t>
            </w:r>
            <w:r w:rsidRPr="006E5A21">
              <w:rPr>
                <w:rFonts w:eastAsia="Calibri" w:cs="Times New Roman"/>
                <w:sz w:val="20"/>
                <w:szCs w:val="20"/>
              </w:rPr>
              <w:t xml:space="preserve"> </w:t>
            </w:r>
            <w:r w:rsidRPr="006E5A21">
              <w:rPr>
                <w:rFonts w:eastAsia="Times New Roman" w:cs="Times New Roman"/>
                <w:color w:val="000000"/>
                <w:sz w:val="20"/>
                <w:szCs w:val="20"/>
              </w:rPr>
              <w:t>refiriéndose el primero a la acumulación objetiva, el segundo a la acumulación subjetiva de acciones y el tercero a los requisitos de la acumulación.</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w:t>
            </w:r>
            <w:r w:rsidRPr="006E5A21">
              <w:rPr>
                <w:rFonts w:eastAsia="Calibri" w:cs="Arial"/>
                <w:sz w:val="20"/>
                <w:szCs w:val="20"/>
              </w:rPr>
              <w:t xml:space="preserve"> Al no concebir el </w:t>
            </w:r>
            <w:proofErr w:type="spellStart"/>
            <w:r w:rsidRPr="006E5A21">
              <w:rPr>
                <w:rFonts w:eastAsia="Calibri" w:cs="Arial"/>
                <w:sz w:val="20"/>
                <w:szCs w:val="20"/>
              </w:rPr>
              <w:t>prelegislador</w:t>
            </w:r>
            <w:proofErr w:type="spellEnd"/>
            <w:r w:rsidRPr="006E5A21">
              <w:rPr>
                <w:rFonts w:eastAsia="Calibri" w:cs="Arial"/>
                <w:sz w:val="20"/>
                <w:szCs w:val="20"/>
              </w:rPr>
              <w:t xml:space="preserve"> la acción de enriquecimiento injusto como una acción autónoma e independiente, sino únicamente como uno más de los elementos para fijar la indemnización, tal y como hace el legislador europeo, contribuye a la finalidad armonizadora de la directiva; pero debe advertirse que </w:t>
            </w:r>
            <w:r w:rsidRPr="006E5A21">
              <w:rPr>
                <w:rFonts w:eastAsia="Calibri" w:cs="Arial"/>
                <w:sz w:val="20"/>
                <w:szCs w:val="20"/>
              </w:rPr>
              <w:lastRenderedPageBreak/>
              <w:t>esta opción no es una exigencia ineludiblemente impuesta por dicha finalidad, sino que el carácter enunciativo con que se describen los factores para la fijación de la indemnización en el artículo 14.2 de la Directiva, y su carácter de mínimos, autorizan al legislador nacional a decantarse por una opción diferente.</w:t>
            </w:r>
          </w:p>
        </w:tc>
        <w:tc>
          <w:tcPr>
            <w:tcW w:w="5529" w:type="dxa"/>
            <w:shd w:val="clear" w:color="auto" w:fill="auto"/>
            <w:vAlign w:val="center"/>
          </w:tcPr>
          <w:p w:rsidR="00343086" w:rsidRPr="006E5A21" w:rsidRDefault="00343086" w:rsidP="00DE5566">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lastRenderedPageBreak/>
              <w:t>Art. 5:</w:t>
            </w:r>
            <w:r w:rsidRPr="006E5A21">
              <w:rPr>
                <w:rFonts w:eastAsia="Calibri" w:cs="Arial"/>
                <w:sz w:val="20"/>
                <w:szCs w:val="20"/>
              </w:rPr>
              <w:t xml:space="preserve"> se ha entendido más apropiado seguir el tenor de la directiva </w:t>
            </w:r>
            <w:r w:rsidR="00DE5566" w:rsidRPr="006E5A21">
              <w:rPr>
                <w:rFonts w:eastAsia="Calibri" w:cs="Arial"/>
                <w:sz w:val="20"/>
                <w:szCs w:val="20"/>
              </w:rPr>
              <w:t>en aras de dar</w:t>
            </w:r>
            <w:r w:rsidRPr="006E5A21">
              <w:rPr>
                <w:rFonts w:eastAsia="Calibri" w:cs="Arial"/>
                <w:sz w:val="20"/>
                <w:szCs w:val="20"/>
              </w:rPr>
              <w:t xml:space="preserve"> cumplimiento al principio de </w:t>
            </w:r>
            <w:proofErr w:type="spellStart"/>
            <w:r w:rsidRPr="006E5A21">
              <w:rPr>
                <w:rFonts w:eastAsia="Calibri" w:cs="Arial"/>
                <w:sz w:val="20"/>
                <w:szCs w:val="20"/>
              </w:rPr>
              <w:t>better</w:t>
            </w:r>
            <w:proofErr w:type="spellEnd"/>
            <w:r w:rsidRPr="006E5A21">
              <w:rPr>
                <w:rFonts w:eastAsia="Calibri" w:cs="Arial"/>
                <w:sz w:val="20"/>
                <w:szCs w:val="20"/>
              </w:rPr>
              <w:t xml:space="preserve"> </w:t>
            </w:r>
            <w:proofErr w:type="spellStart"/>
            <w:r w:rsidRPr="006E5A21">
              <w:rPr>
                <w:rFonts w:eastAsia="Calibri" w:cs="Arial"/>
                <w:sz w:val="20"/>
                <w:szCs w:val="20"/>
              </w:rPr>
              <w:t>regulation</w:t>
            </w:r>
            <w:proofErr w:type="spellEnd"/>
            <w:r w:rsidRPr="006E5A21">
              <w:rPr>
                <w:rFonts w:eastAsia="Calibri" w:cs="Arial"/>
                <w:sz w:val="20"/>
                <w:szCs w:val="20"/>
              </w:rPr>
              <w:t>.</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5.1.e):</w:t>
            </w:r>
            <w:r w:rsidRPr="006E5A21">
              <w:rPr>
                <w:rFonts w:eastAsia="Calibri" w:cs="Arial"/>
                <w:sz w:val="20"/>
                <w:szCs w:val="20"/>
              </w:rPr>
              <w:t xml:space="preserve"> No puede soslayarse que la determinación del valor de las mercancías infractoras no siempre y en todo caso será posible durante el proceso. De ordinario, salvo que se hubiesen adoptado medidas cautelares, la entrega de las mercancías infractoras al demandante tendrá lugar en ejecución de sentencia, momento en el que cabrá valorarlas a efectos de imputar su valor a la indemnización debida. El </w:t>
            </w:r>
            <w:proofErr w:type="spellStart"/>
            <w:r w:rsidRPr="006E5A21">
              <w:rPr>
                <w:rFonts w:eastAsia="Calibri" w:cs="Arial"/>
                <w:sz w:val="20"/>
                <w:szCs w:val="20"/>
              </w:rPr>
              <w:t>prelegislador</w:t>
            </w:r>
            <w:proofErr w:type="spellEnd"/>
            <w:r w:rsidRPr="006E5A21">
              <w:rPr>
                <w:rFonts w:eastAsia="Calibri" w:cs="Arial"/>
                <w:sz w:val="20"/>
                <w:szCs w:val="20"/>
              </w:rPr>
              <w:t xml:space="preserve"> debería tener presente que la sentencia que declare la conducta ilícita, atribuya en propiedad las mercancías infractoras al actor y condene a una indemnización de daños y perjuicios, deberá tener en cuenta esta circunstancia, y fijar con claridad las bases para la determinación del importe de la indemnización, con la imputación del valor de las  mercancías entregadas, acudiendo en su caso a estos efectos a los mecanismos que se articulan en los artículos 712 y siguientes de la LEC, o estableciendo en la misma sentencia las bases para fijar el valor de las mercancías.</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5.1.e):</w:t>
            </w:r>
            <w:r w:rsidRPr="006E5A21">
              <w:rPr>
                <w:rFonts w:eastAsia="Calibri" w:cs="Arial"/>
                <w:sz w:val="20"/>
                <w:szCs w:val="20"/>
              </w:rPr>
              <w:t xml:space="preserve"> La observación formulada no tiene en cuenta que, de acuerdo con el art. 6.2 del APL, las reglas de cálculo de la indemnización de daños y perjuicios son coincidentes con las reguladas en los arts. 73 y 74.5 LP, disponiendo este último que “</w:t>
            </w:r>
            <w:r w:rsidRPr="006E5A21">
              <w:rPr>
                <w:rFonts w:eastAsia="Calibri" w:cs="Arial"/>
                <w:i/>
                <w:sz w:val="20"/>
                <w:szCs w:val="20"/>
              </w:rPr>
              <w:t>Las  diligencias  relativas  al  cálculo  o  cuantificación  y  liquidación  de  daños  de  acuerdo con los criterios establecidos en este artículo se llevarán a cabo a partir de las  bases  fijadas  en  la  sentencia  conforme  al  procedimiento  previsto  en  el  Capítulo  IV  del   Título V del Libro III de la Ley de Enjuiciamiento Civil</w:t>
            </w:r>
            <w:r w:rsidRPr="006E5A21">
              <w:rPr>
                <w:rFonts w:eastAsia="Calibri" w:cs="Arial"/>
                <w:sz w:val="20"/>
                <w:szCs w:val="20"/>
              </w:rPr>
              <w:t xml:space="preserve">” (arts. 712 y </w:t>
            </w:r>
            <w:proofErr w:type="spellStart"/>
            <w:r w:rsidRPr="006E5A21">
              <w:rPr>
                <w:rFonts w:eastAsia="Calibri" w:cs="Arial"/>
                <w:sz w:val="20"/>
                <w:szCs w:val="20"/>
              </w:rPr>
              <w:t>ss</w:t>
            </w:r>
            <w:proofErr w:type="spellEnd"/>
            <w:r w:rsidRPr="006E5A21">
              <w:rPr>
                <w:rFonts w:eastAsia="Calibri" w:cs="Arial"/>
                <w:sz w:val="20"/>
                <w:szCs w:val="20"/>
              </w:rPr>
              <w:t>). Por tanto, no procede objetivar criterios especiales más allá de lo establecido por la LEC.</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Arts. 5.1.f):</w:t>
            </w:r>
            <w:r w:rsidRPr="006E5A21">
              <w:rPr>
                <w:rFonts w:eastAsia="Calibri" w:cs="Arial"/>
                <w:sz w:val="20"/>
                <w:szCs w:val="20"/>
              </w:rPr>
              <w:t xml:space="preserve"> Por otra parte, la acción indemnizatoria se vincula a una responsabilidad de carácter netamente subjetivo, exigible bien a título de dolo, bien de culpa [artículos 14.1 DSC y 5.1 f) ALSE], lo que aparentemente sería predicable tanto de las conductas originarias como de las no originarias, si bien sería conveniente que este extremo quedara clarificado en la Ley proyectada.</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5.1.f):</w:t>
            </w:r>
            <w:r w:rsidRPr="006E5A21">
              <w:rPr>
                <w:rFonts w:eastAsia="Calibri" w:cs="Arial"/>
                <w:sz w:val="20"/>
                <w:szCs w:val="20"/>
              </w:rPr>
              <w:t xml:space="preserve"> la redacción del precepto sigue por coherencia lo establecido por el art. 3.3, haciéndose referencia a los casos en que no hubo conocimiento en el apartado 7 del mismo art. 5 (transposición literal del art. 13.3 de la directiva). </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bCs/>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Arts. 5.1.g) y 11.2.c):</w:t>
            </w:r>
            <w:r w:rsidRPr="006E5A21">
              <w:rPr>
                <w:rFonts w:eastAsia="Calibri" w:cs="Arial"/>
                <w:sz w:val="20"/>
                <w:szCs w:val="20"/>
              </w:rPr>
              <w:t xml:space="preserve"> En la publicación de las sentencias, debería también tenerse en cuenta el derecho de autodeterminación informativa consagrado en el art. 18.4 CE. La preservación de este derecho en las sentencias dictadas por los órganos judiciales a </w:t>
            </w:r>
            <w:r w:rsidRPr="006E5A21">
              <w:rPr>
                <w:rFonts w:eastAsia="Calibri" w:cs="Arial"/>
                <w:sz w:val="20"/>
                <w:szCs w:val="20"/>
              </w:rPr>
              <w:lastRenderedPageBreak/>
              <w:t>través de la disociación de los datos no debe entenderse como absoluta, y no impide su excepción, no solo cuando por disposición legal se autorice la cesión de los datos sin consentimiento del interesado, o cuando la propia ley disponga el acceso y la publicidad sin disociación de los datos (como sucede, por ejemplo, en la Ley Orgánica 10/2015, de 10 de septiembre, por la que se regula el acceso y publicidad de determinada información contenida en las sentencias dictadas en materia de fraude fiscal), sino también cuando así venga impuesto por la salvaguarda de un interés que deba considerarse prevalente, tras el pertinente juicio de proporcionalidad.</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lastRenderedPageBreak/>
              <w:t>Arts. 5.1.g) y 11.2.c):</w:t>
            </w:r>
            <w:r w:rsidRPr="006E5A21">
              <w:rPr>
                <w:rFonts w:eastAsia="Calibri" w:cs="Arial"/>
                <w:sz w:val="20"/>
                <w:szCs w:val="20"/>
              </w:rPr>
              <w:t xml:space="preserve"> Los principios de </w:t>
            </w:r>
            <w:proofErr w:type="spellStart"/>
            <w:r w:rsidRPr="006E5A21">
              <w:rPr>
                <w:rFonts w:eastAsia="Calibri" w:cs="Arial"/>
                <w:sz w:val="20"/>
                <w:szCs w:val="20"/>
              </w:rPr>
              <w:t>better</w:t>
            </w:r>
            <w:proofErr w:type="spellEnd"/>
            <w:r w:rsidRPr="006E5A21">
              <w:rPr>
                <w:rFonts w:eastAsia="Calibri" w:cs="Arial"/>
                <w:sz w:val="20"/>
                <w:szCs w:val="20"/>
              </w:rPr>
              <w:t xml:space="preserve"> </w:t>
            </w:r>
            <w:proofErr w:type="spellStart"/>
            <w:r w:rsidRPr="006E5A21">
              <w:rPr>
                <w:rFonts w:eastAsia="Calibri" w:cs="Arial"/>
                <w:sz w:val="20"/>
                <w:szCs w:val="20"/>
              </w:rPr>
              <w:t>regulation</w:t>
            </w:r>
            <w:proofErr w:type="spellEnd"/>
            <w:r w:rsidRPr="006E5A21">
              <w:rPr>
                <w:rFonts w:eastAsia="Calibri" w:cs="Arial"/>
                <w:sz w:val="20"/>
                <w:szCs w:val="20"/>
              </w:rPr>
              <w:t xml:space="preserve">, simplificación y mínima intervención legislativa aconsejan realizar una interpretación sistemática del ordenamiento para lo que los operadores deberán tener en cuenta el ordenamiento </w:t>
            </w:r>
            <w:r w:rsidRPr="006E5A21">
              <w:rPr>
                <w:rFonts w:eastAsia="Calibri" w:cs="Arial"/>
                <w:sz w:val="20"/>
                <w:szCs w:val="20"/>
              </w:rPr>
              <w:lastRenderedPageBreak/>
              <w:t>existente no modificado por el presente APL que incluye las normas señaladas por el CGPJ.</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5.6:</w:t>
            </w:r>
            <w:r w:rsidRPr="006E5A21">
              <w:rPr>
                <w:rFonts w:eastAsia="Calibri" w:cs="Arial"/>
                <w:sz w:val="20"/>
                <w:szCs w:val="20"/>
              </w:rPr>
              <w:t xml:space="preserve"> La indemnización coercitiva debería vincularse a las acciones de cesación o prohibición, y a aquellas cuya ejecución comporta una prestación, un hacer o un no hacer, por parte del infractor condenado, excluyéndose, por tanto, las acciones indemnizatorias, respecto de las cuales se ha de considerar que los intereses por la mora procesal previstos en el artículo 576 LEC cumplen tal función resarcitoria y coercitiva.</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5.6:</w:t>
            </w:r>
            <w:r w:rsidRPr="006E5A21">
              <w:rPr>
                <w:rFonts w:eastAsia="Calibri" w:cs="Arial"/>
                <w:sz w:val="20"/>
                <w:szCs w:val="20"/>
              </w:rPr>
              <w:t xml:space="preserve"> SE ACEPTA, introduciéndose un inciso inicial en el precepto que señale que “</w:t>
            </w:r>
            <w:r w:rsidRPr="006E5A21">
              <w:rPr>
                <w:rFonts w:eastAsia="Calibri" w:cs="Arial"/>
                <w:i/>
                <w:sz w:val="20"/>
                <w:szCs w:val="20"/>
              </w:rPr>
              <w:t>En los supuestos de las letras b) a e) del apartado 1 del presente artículo, la sentencia fijará..</w:t>
            </w:r>
            <w:r w:rsidRPr="006E5A21">
              <w:rPr>
                <w:rFonts w:eastAsia="Calibri" w:cs="Arial"/>
                <w:sz w:val="20"/>
                <w:szCs w:val="20"/>
              </w:rPr>
              <w:t>.”</w:t>
            </w:r>
          </w:p>
        </w:tc>
      </w:tr>
      <w:tr w:rsidR="00343086" w:rsidRPr="006E5A21" w:rsidTr="0082764F">
        <w:trPr>
          <w:trHeight w:val="738"/>
        </w:trPr>
        <w:tc>
          <w:tcPr>
            <w:tcW w:w="1418" w:type="dxa"/>
            <w:vMerge w:val="restart"/>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Art. 6.2</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OEPM</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 xml:space="preserve">Art. 6.2: </w:t>
            </w:r>
            <w:r w:rsidRPr="006E5A21">
              <w:rPr>
                <w:rFonts w:eastAsia="Calibri" w:cs="Arial"/>
                <w:sz w:val="20"/>
                <w:szCs w:val="20"/>
              </w:rPr>
              <w:t xml:space="preserve">si bien transcribe el art. 14 de la directiva, se propone una regulación semejante a la contenida al art. 74 LP a fin de que no haya desequilibrio en el criterio </w:t>
            </w:r>
            <w:proofErr w:type="spellStart"/>
            <w:r w:rsidRPr="006E5A21">
              <w:rPr>
                <w:rFonts w:eastAsia="Calibri" w:cs="Arial"/>
                <w:sz w:val="20"/>
                <w:szCs w:val="20"/>
              </w:rPr>
              <w:t>indemnizador</w:t>
            </w:r>
            <w:proofErr w:type="spellEnd"/>
            <w:r w:rsidRPr="006E5A21">
              <w:rPr>
                <w:rFonts w:eastAsia="Calibri" w:cs="Arial"/>
                <w:sz w:val="20"/>
                <w:szCs w:val="20"/>
              </w:rPr>
              <w:t xml:space="preserve"> de las conductas infractoras. Por ello se propone la remisión a los arts. 73 y 74 en su conjunto, con la siguiente redacción:</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w:t>
            </w:r>
            <w:r w:rsidRPr="006E5A21">
              <w:rPr>
                <w:rFonts w:eastAsia="Calibri" w:cs="Arial"/>
                <w:i/>
                <w:sz w:val="20"/>
                <w:szCs w:val="20"/>
              </w:rPr>
              <w:t>2. En relación con el cálculo y liquidación de los daños y perjuicios será de aplicación lo dispuesto en los artículos 73 y 74</w:t>
            </w:r>
            <w:r w:rsidRPr="006E5A21">
              <w:rPr>
                <w:rFonts w:eastAsia="Calibri" w:cs="Arial"/>
                <w:i/>
                <w:strike/>
                <w:sz w:val="20"/>
                <w:szCs w:val="20"/>
              </w:rPr>
              <w:t>.5</w:t>
            </w:r>
            <w:r w:rsidRPr="006E5A21">
              <w:rPr>
                <w:rFonts w:eastAsia="Calibri" w:cs="Arial"/>
                <w:i/>
                <w:sz w:val="20"/>
                <w:szCs w:val="20"/>
              </w:rPr>
              <w:t xml:space="preserve"> de la Ley 24/2015, de 24 de julio, de Patentes, </w:t>
            </w:r>
            <w:r w:rsidRPr="006E5A21">
              <w:rPr>
                <w:rFonts w:eastAsia="Calibri" w:cs="Arial"/>
                <w:i/>
                <w:sz w:val="20"/>
                <w:szCs w:val="20"/>
                <w:u w:val="single"/>
              </w:rPr>
              <w:t>en la medida que no fueran incompatibles con el secreto empresarial</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b/>
                <w:color w:val="000000"/>
                <w:sz w:val="20"/>
                <w:szCs w:val="20"/>
              </w:rPr>
              <w:t xml:space="preserve">Art. 6.2: </w:t>
            </w:r>
            <w:r w:rsidRPr="006E5A21">
              <w:rPr>
                <w:rFonts w:eastAsia="Times New Roman" w:cs="Times New Roman"/>
                <w:color w:val="000000"/>
                <w:sz w:val="20"/>
                <w:szCs w:val="20"/>
              </w:rPr>
              <w:t>la voluntad de la propuesta de APL ha sido precisamente limitar la remisión a la LP a las cuestiones estrictamente procedimentales (de ahí que del 74 sólo se remita al apartado 5). El resto del art. 74 LP es específico para patentes y no parece razonable trasladarlo tal cual a secretos empresariales, donde hay criterios parcialmente diversos, que son además los marcados por la directiva. La remisión en bloque generaría dudas interpretativas innecesarias, y parte de una identificación entre secreto empresarial y derecho de patente que no resulta adecuada.</w:t>
            </w:r>
          </w:p>
          <w:p w:rsidR="0028059C" w:rsidRPr="006E5A21" w:rsidRDefault="0028059C" w:rsidP="00FB4B5F">
            <w:pPr>
              <w:spacing w:before="120" w:after="120" w:line="240" w:lineRule="auto"/>
              <w:ind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r w:rsidRPr="006E5A21">
              <w:rPr>
                <w:rFonts w:eastAsia="Times New Roman" w:cs="Times New Roman"/>
                <w:color w:val="000000"/>
                <w:sz w:val="20"/>
                <w:szCs w:val="20"/>
              </w:rPr>
              <w:t xml:space="preserve">Por tanto, en la liquidación de daños y perjuicios deben entenderse como regulaciones diferentes, por un lado, los </w:t>
            </w:r>
            <w:r w:rsidRPr="006E5A21">
              <w:rPr>
                <w:rFonts w:eastAsia="Times New Roman" w:cs="Times New Roman"/>
                <w:color w:val="000000"/>
                <w:sz w:val="20"/>
                <w:szCs w:val="20"/>
              </w:rPr>
              <w:lastRenderedPageBreak/>
              <w:t>criterios sustantivos para el cálculo, -los recogidos en el art. 6.1 que traspone el art. 14 de la directiva-, y por otro, las normas</w:t>
            </w:r>
            <w:r w:rsidR="00DE460A" w:rsidRPr="006E5A21">
              <w:rPr>
                <w:rFonts w:eastAsia="Times New Roman" w:cs="Times New Roman"/>
                <w:color w:val="000000"/>
                <w:sz w:val="20"/>
                <w:szCs w:val="20"/>
              </w:rPr>
              <w:t xml:space="preserve"> procesales para su reclamación</w:t>
            </w:r>
            <w:r w:rsidRPr="006E5A21">
              <w:rPr>
                <w:rFonts w:eastAsia="Times New Roman" w:cs="Times New Roman"/>
                <w:color w:val="000000"/>
                <w:sz w:val="20"/>
                <w:szCs w:val="20"/>
              </w:rPr>
              <w:t xml:space="preserve"> </w:t>
            </w:r>
            <w:r w:rsidR="00DE460A" w:rsidRPr="006E5A21">
              <w:rPr>
                <w:rFonts w:eastAsia="Times New Roman" w:cs="Times New Roman"/>
                <w:color w:val="000000"/>
                <w:sz w:val="20"/>
                <w:szCs w:val="20"/>
              </w:rPr>
              <w:t>-</w:t>
            </w:r>
            <w:r w:rsidRPr="006E5A21">
              <w:rPr>
                <w:rFonts w:eastAsia="Times New Roman" w:cs="Times New Roman"/>
                <w:color w:val="000000"/>
                <w:sz w:val="20"/>
                <w:szCs w:val="20"/>
              </w:rPr>
              <w:t>coincidentes con reguladas p</w:t>
            </w:r>
            <w:r w:rsidR="00DE460A" w:rsidRPr="006E5A21">
              <w:rPr>
                <w:rFonts w:eastAsia="Times New Roman" w:cs="Times New Roman"/>
                <w:color w:val="000000"/>
                <w:sz w:val="20"/>
                <w:szCs w:val="20"/>
              </w:rPr>
              <w:t>or la LP en los arts. 73 y 74.5-.</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6.2:</w:t>
            </w:r>
            <w:r w:rsidRPr="006E5A21">
              <w:rPr>
                <w:rFonts w:eastAsia="Calibri" w:cs="Arial"/>
                <w:sz w:val="20"/>
                <w:szCs w:val="20"/>
              </w:rPr>
              <w:t xml:space="preserve"> El </w:t>
            </w:r>
            <w:proofErr w:type="spellStart"/>
            <w:r w:rsidRPr="006E5A21">
              <w:rPr>
                <w:rFonts w:eastAsia="Calibri" w:cs="Arial"/>
                <w:sz w:val="20"/>
                <w:szCs w:val="20"/>
              </w:rPr>
              <w:t>prelegislador</w:t>
            </w:r>
            <w:proofErr w:type="spellEnd"/>
            <w:r w:rsidRPr="006E5A21">
              <w:rPr>
                <w:rFonts w:eastAsia="Calibri" w:cs="Arial"/>
                <w:sz w:val="20"/>
                <w:szCs w:val="20"/>
              </w:rPr>
              <w:t xml:space="preserve"> ha renunciado a concretar los elementos para la fijación de la indemnización, tal y como hacen los artículos 74 y 75 de la Ley de Patentes, cuyos criterios podrían servir de guía, convenientemente adaptados a la violación de los secretos empresariales.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Por otro lado, resulta más adecuado exponer el contenido del art. 73 LP–sobre la exhibición de documentos para el cálculo de la indemnización-, con las pertinentes adaptaciones, en vez de hacer una remisión genérica al mismo, tal y como hace el apartado segundo del artículo 6 ALSE.</w:t>
            </w: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Calibri" w:cs="Times New Roman"/>
                <w:sz w:val="20"/>
                <w:szCs w:val="20"/>
              </w:rPr>
            </w:pPr>
            <w:r w:rsidRPr="006E5A21">
              <w:rPr>
                <w:rFonts w:eastAsia="Calibri" w:cs="Times New Roman"/>
                <w:b/>
                <w:sz w:val="20"/>
                <w:szCs w:val="20"/>
              </w:rPr>
              <w:t>Art. 6.2:</w:t>
            </w:r>
            <w:r w:rsidRPr="006E5A21">
              <w:rPr>
                <w:rFonts w:eastAsia="Calibri" w:cs="Times New Roman"/>
                <w:sz w:val="20"/>
                <w:szCs w:val="20"/>
              </w:rPr>
              <w:t xml:space="preserve"> </w:t>
            </w:r>
            <w:r w:rsidRPr="006E5A21">
              <w:rPr>
                <w:rFonts w:eastAsia="Times New Roman" w:cs="Times New Roman"/>
                <w:color w:val="000000"/>
                <w:sz w:val="20"/>
                <w:szCs w:val="20"/>
              </w:rPr>
              <w:t xml:space="preserve">Por motivos de mejor técnica legislativa, la mínima intervención normativa aconseja la remisión de este APL a la LP en algunos aspectos de su parte procesal. Así, en la </w:t>
            </w:r>
            <w:r w:rsidRPr="006E5A21">
              <w:rPr>
                <w:rFonts w:eastAsia="Calibri" w:cs="Times New Roman"/>
                <w:sz w:val="20"/>
                <w:szCs w:val="20"/>
              </w:rPr>
              <w:t>en la liquidación de daños y perjuicios, por un lado, los criterios sustantivos para el cálculo, son los recogidos en el art. 6.1 del APL, y por otro, las normas procesales para su reclamación, coincidentes con reguladas por la LP son las recogidas en los arts. 73 y 74.5 LP a los que se remite.</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Art. 7</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7:</w:t>
            </w:r>
            <w:r w:rsidRPr="006E5A21">
              <w:rPr>
                <w:rFonts w:eastAsia="Calibri" w:cs="Arial"/>
                <w:sz w:val="20"/>
                <w:szCs w:val="20"/>
              </w:rPr>
              <w:t xml:space="preserve"> La concurrencia del doble elemento de determinación del momento inicial del cómputo del plazo prescriptivo –el momento en que la acción pudo ejercitarse y el legitimado tuvo conocimiento de la persona que realizó la violación del secreto empresarial (artículo 7 ALSE)- puede producir el efecto de prolongar en exceso el plazo de ejercicio de la acción, incluso más allá del plazo máximo de seis años que contempla el artículo 8.2 de la directiva, mientras no se identifique al infractor, lo que, en determinados casos, puede quedar en manos del propio demandante y propiciar conductas abusivas. Por otra parte, el carácter subjetivo de este hecho –el conocimiento del infractor- puede dificultar la prueba para el demandado que alega la prescripción de la acción, en cuanto al inicio del cómputo del plazo y a su transcurso. Además, este elemento podría considerarse implícito en el anterior, por cuanto la posibilidad de ejercicio de la acción comporta necesariamente la identificación de aquel o de aquellos frente a las que podrá </w:t>
            </w:r>
            <w:r w:rsidRPr="006E5A21">
              <w:rPr>
                <w:rFonts w:eastAsia="Calibri" w:cs="Arial"/>
                <w:sz w:val="20"/>
                <w:szCs w:val="20"/>
              </w:rPr>
              <w:lastRenderedPageBreak/>
              <w:t xml:space="preserve">ejercitarse. Cabe sugerir al </w:t>
            </w:r>
            <w:proofErr w:type="spellStart"/>
            <w:r w:rsidRPr="006E5A21">
              <w:rPr>
                <w:rFonts w:eastAsia="Calibri" w:cs="Arial"/>
                <w:sz w:val="20"/>
                <w:szCs w:val="20"/>
              </w:rPr>
              <w:t>prelegislador</w:t>
            </w:r>
            <w:proofErr w:type="spellEnd"/>
            <w:r w:rsidRPr="006E5A21">
              <w:rPr>
                <w:rFonts w:eastAsia="Calibri" w:cs="Arial"/>
                <w:sz w:val="20"/>
                <w:szCs w:val="20"/>
              </w:rPr>
              <w:t>, por tanto, que reconsidere su inclusión a la hora de establecer el momento inicial del cómputo del plazo de prescripción de las acciones de protección de los secretos empresariales.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Paralelamente, sería aconsejable que en la determinación del </w:t>
            </w:r>
            <w:proofErr w:type="spellStart"/>
            <w:r w:rsidRPr="006E5A21">
              <w:rPr>
                <w:rFonts w:eastAsia="Calibri" w:cs="Verdana,Italic"/>
                <w:i/>
                <w:iCs/>
                <w:sz w:val="20"/>
                <w:szCs w:val="20"/>
              </w:rPr>
              <w:t>dies</w:t>
            </w:r>
            <w:proofErr w:type="spellEnd"/>
            <w:r w:rsidRPr="006E5A21">
              <w:rPr>
                <w:rFonts w:eastAsia="Calibri" w:cs="Verdana,Italic"/>
                <w:i/>
                <w:iCs/>
                <w:sz w:val="20"/>
                <w:szCs w:val="20"/>
              </w:rPr>
              <w:t xml:space="preserve"> a quo </w:t>
            </w:r>
            <w:r w:rsidRPr="006E5A21">
              <w:rPr>
                <w:rFonts w:eastAsia="Calibri" w:cs="Arial"/>
                <w:sz w:val="20"/>
                <w:szCs w:val="20"/>
              </w:rPr>
              <w:t>del cómputo del plazo se trasladara a la norma la doctrina de los daños continuados, con las pertinentes correcciones impuestas por el principio de buena fe y la doctrina del retraso desleal (</w:t>
            </w:r>
            <w:proofErr w:type="spellStart"/>
            <w:r w:rsidRPr="006E5A21">
              <w:rPr>
                <w:rFonts w:eastAsia="Calibri" w:cs="Verdana,Italic"/>
                <w:i/>
                <w:iCs/>
                <w:sz w:val="20"/>
                <w:szCs w:val="20"/>
              </w:rPr>
              <w:t>Verwirkung</w:t>
            </w:r>
            <w:proofErr w:type="spellEnd"/>
            <w:r w:rsidRPr="006E5A21">
              <w:rPr>
                <w:rFonts w:eastAsia="Calibri" w:cs="Verdana,Italic"/>
                <w:i/>
                <w:iCs/>
                <w:sz w:val="20"/>
                <w:szCs w:val="20"/>
              </w:rPr>
              <w:t>)</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E igualmente convendría que el </w:t>
            </w:r>
            <w:proofErr w:type="spellStart"/>
            <w:r w:rsidRPr="006E5A21">
              <w:rPr>
                <w:rFonts w:eastAsia="Calibri" w:cs="Arial"/>
                <w:sz w:val="20"/>
                <w:szCs w:val="20"/>
              </w:rPr>
              <w:t>prelegislador</w:t>
            </w:r>
            <w:proofErr w:type="spellEnd"/>
            <w:r w:rsidRPr="006E5A21">
              <w:rPr>
                <w:rFonts w:eastAsia="Calibri" w:cs="Arial"/>
                <w:sz w:val="20"/>
                <w:szCs w:val="20"/>
              </w:rPr>
              <w:t>, al referirse a las causas de interrupción de la prescripción –con reenvío a las previstas con carácter general en el Código civil-, tuviese en cuenta que, aun cuando el artículo 943 del Código de comercio (</w:t>
            </w:r>
            <w:proofErr w:type="spellStart"/>
            <w:r w:rsidRPr="006E5A21">
              <w:rPr>
                <w:rFonts w:eastAsia="Calibri" w:cs="Arial"/>
                <w:sz w:val="20"/>
                <w:szCs w:val="20"/>
              </w:rPr>
              <w:t>Ccom</w:t>
            </w:r>
            <w:proofErr w:type="spellEnd"/>
            <w:r w:rsidRPr="006E5A21">
              <w:rPr>
                <w:rFonts w:eastAsia="Calibri" w:cs="Arial"/>
                <w:sz w:val="20"/>
                <w:szCs w:val="20"/>
              </w:rPr>
              <w:t xml:space="preserve">) se remite a las disposiciones de Derecho común respecto de las acciones que por virtud del mismo Código no tienen plazo determinado para su ejercicio, el artículo 944 </w:t>
            </w:r>
            <w:proofErr w:type="spellStart"/>
            <w:r w:rsidRPr="006E5A21">
              <w:rPr>
                <w:rFonts w:eastAsia="Calibri" w:cs="Arial"/>
                <w:sz w:val="20"/>
                <w:szCs w:val="20"/>
              </w:rPr>
              <w:t>Ccom</w:t>
            </w:r>
            <w:proofErr w:type="spellEnd"/>
            <w:r w:rsidRPr="006E5A21">
              <w:rPr>
                <w:rFonts w:eastAsia="Calibri" w:cs="Arial"/>
                <w:sz w:val="20"/>
                <w:szCs w:val="20"/>
              </w:rPr>
              <w:t xml:space="preserve"> contiene reglas específicas de interrupción de la prescripción, entre las que no se encuentra la reclamación extrajudicial que, sin embargo, sí se prevé en el artículo 1973 CC como tal causa </w:t>
            </w:r>
            <w:proofErr w:type="spellStart"/>
            <w:r w:rsidRPr="006E5A21">
              <w:rPr>
                <w:rFonts w:eastAsia="Calibri" w:cs="Arial"/>
                <w:sz w:val="20"/>
                <w:szCs w:val="20"/>
              </w:rPr>
              <w:t>interruptiva</w:t>
            </w:r>
            <w:proofErr w:type="spellEnd"/>
            <w:r w:rsidRPr="006E5A21">
              <w:rPr>
                <w:rFonts w:eastAsia="Calibri" w:cs="Arial"/>
                <w:sz w:val="20"/>
                <w:szCs w:val="20"/>
              </w:rPr>
              <w:t>, por más que en algún caso se haya admitido como tal causa de interrupción de la prescripción en acciones de protección del derecho marcario (cfr. STS de 18 de mayo de 2006, ECLI).</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Para cerrar este apartado, no cabe desconocer que el artículo 8.1 DSC impone a los Estados miembros la obligación de establecer, de conformidad con lo dispuesto en dicho artículo, </w:t>
            </w:r>
            <w:proofErr w:type="gramStart"/>
            <w:r w:rsidRPr="006E5A21">
              <w:rPr>
                <w:rFonts w:eastAsia="Calibri" w:cs="Verdana,Italic"/>
                <w:i/>
                <w:iCs/>
                <w:sz w:val="20"/>
                <w:szCs w:val="20"/>
              </w:rPr>
              <w:t>«[</w:t>
            </w:r>
            <w:proofErr w:type="gramEnd"/>
            <w:r w:rsidRPr="006E5A21">
              <w:rPr>
                <w:rFonts w:eastAsia="Calibri" w:cs="Verdana,Italic"/>
                <w:i/>
                <w:iCs/>
                <w:sz w:val="20"/>
                <w:szCs w:val="20"/>
              </w:rPr>
              <w:t xml:space="preserve">l]os plazos de prescripción aplicables a la formulación de pretensiones sobre el fondo y al ejercicio de acciones para la aplicación de medidas, procedimientos y recursos previstos en la presente directiva». </w:t>
            </w:r>
            <w:r w:rsidRPr="006E5A21">
              <w:rPr>
                <w:rFonts w:eastAsia="Calibri" w:cs="Arial"/>
                <w:sz w:val="20"/>
                <w:szCs w:val="20"/>
              </w:rPr>
              <w:t xml:space="preserve">El </w:t>
            </w:r>
            <w:r w:rsidRPr="006E5A21">
              <w:rPr>
                <w:rFonts w:eastAsia="Calibri" w:cs="Arial"/>
                <w:sz w:val="20"/>
                <w:szCs w:val="20"/>
              </w:rPr>
              <w:lastRenderedPageBreak/>
              <w:t>precepto parece aludir, por tanto, a dos tipos de plazos de prescripción, lo que permite abrir la posibilidad de contemplar, además del plazo de prescripción propiamente dicho, otro tipo de plazo, bien un plazo máximo para el ejercicio de las acciones computado desde la finalización de la conducta, como el previsto en el artículo 35 LCD –no susceptible, por tanto, de interrupción, y asemejado a un plazo de caducidad-, bien un plazo para limitar al periodo a que se contrae la extensión de las medidas solicitadas, y en particular los daños y perjuicios cuya indemnización cabe reclamar.</w:t>
            </w: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Calibri" w:cs="Times New Roman"/>
                <w:sz w:val="20"/>
                <w:szCs w:val="20"/>
              </w:rPr>
            </w:pPr>
            <w:r w:rsidRPr="006E5A21">
              <w:rPr>
                <w:rFonts w:eastAsia="Calibri" w:cs="Times New Roman"/>
                <w:b/>
                <w:sz w:val="20"/>
                <w:szCs w:val="20"/>
              </w:rPr>
              <w:lastRenderedPageBreak/>
              <w:t>Art. 7:</w:t>
            </w:r>
            <w:r w:rsidRPr="006E5A21">
              <w:rPr>
                <w:rFonts w:eastAsia="Calibri" w:cs="Times New Roman"/>
                <w:sz w:val="20"/>
                <w:szCs w:val="20"/>
              </w:rPr>
              <w:t xml:space="preserve"> No tiene en cuenta la observación formulada que el inciso “</w:t>
            </w:r>
            <w:r w:rsidRPr="006E5A21">
              <w:rPr>
                <w:rFonts w:eastAsia="Calibri" w:cs="Times New Roman"/>
                <w:i/>
                <w:sz w:val="20"/>
                <w:szCs w:val="20"/>
              </w:rPr>
              <w:t>desde el momento en que pudieron ejercitarse y el legitimado tuvo conocimiento de la persona que realizó la violación</w:t>
            </w:r>
            <w:r w:rsidRPr="006E5A21">
              <w:rPr>
                <w:rFonts w:eastAsia="Calibri" w:cs="Times New Roman"/>
                <w:sz w:val="20"/>
                <w:szCs w:val="20"/>
              </w:rPr>
              <w:t>” sigue el tenor del art. 35 de la Ley de Competencia Desleal.</w:t>
            </w:r>
          </w:p>
          <w:p w:rsidR="00343086" w:rsidRPr="006E5A21" w:rsidRDefault="00343086" w:rsidP="00FB4B5F">
            <w:pPr>
              <w:spacing w:before="120" w:after="120" w:line="240" w:lineRule="auto"/>
              <w:ind w:right="175"/>
              <w:contextualSpacing/>
              <w:jc w:val="both"/>
              <w:rPr>
                <w:rFonts w:eastAsia="Calibri" w:cs="Times New Roman"/>
                <w:sz w:val="20"/>
                <w:szCs w:val="20"/>
              </w:rPr>
            </w:pPr>
          </w:p>
          <w:p w:rsidR="00343086" w:rsidRPr="006E5A21" w:rsidRDefault="00343086" w:rsidP="00FB4B5F">
            <w:pPr>
              <w:spacing w:before="120" w:after="120" w:line="240" w:lineRule="auto"/>
              <w:ind w:right="175"/>
              <w:contextualSpacing/>
              <w:jc w:val="both"/>
              <w:rPr>
                <w:rFonts w:eastAsia="Calibri" w:cs="Times New Roman"/>
                <w:sz w:val="20"/>
                <w:szCs w:val="20"/>
              </w:rPr>
            </w:pPr>
            <w:r w:rsidRPr="006E5A21">
              <w:rPr>
                <w:rFonts w:eastAsia="Calibri" w:cs="Times New Roman"/>
                <w:sz w:val="20"/>
                <w:szCs w:val="20"/>
              </w:rPr>
              <w:t xml:space="preserve">Además, en cuanto a la interrupción de la prescripción, el propio art. 7 del APL </w:t>
            </w:r>
            <w:r w:rsidRPr="006E5A21">
              <w:rPr>
                <w:rFonts w:eastAsia="Calibri" w:cs="Times New Roman"/>
                <w:i/>
                <w:sz w:val="20"/>
                <w:szCs w:val="20"/>
              </w:rPr>
              <w:t>in fine</w:t>
            </w:r>
            <w:r w:rsidRPr="006E5A21">
              <w:rPr>
                <w:rFonts w:eastAsia="Calibri" w:cs="Times New Roman"/>
                <w:sz w:val="20"/>
                <w:szCs w:val="20"/>
              </w:rPr>
              <w:t xml:space="preserve"> señala que “</w:t>
            </w:r>
            <w:r w:rsidRPr="006E5A21">
              <w:rPr>
                <w:rFonts w:eastAsia="Calibri" w:cs="Times New Roman"/>
                <w:i/>
                <w:sz w:val="20"/>
                <w:szCs w:val="20"/>
              </w:rPr>
              <w:t>Su prescripción se interrumpirá por las causas previstas con carácter general en el Código civil</w:t>
            </w:r>
            <w:r w:rsidRPr="006E5A21">
              <w:rPr>
                <w:rFonts w:eastAsia="Calibri" w:cs="Times New Roman"/>
                <w:sz w:val="20"/>
                <w:szCs w:val="20"/>
              </w:rPr>
              <w:t>.”</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Art. 8</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8:</w:t>
            </w:r>
            <w:r w:rsidRPr="006E5A21">
              <w:rPr>
                <w:rFonts w:eastAsia="Calibri" w:cs="Arial"/>
                <w:sz w:val="20"/>
                <w:szCs w:val="20"/>
              </w:rPr>
              <w:t xml:space="preserve"> Cabe sugerir que las acciones de protección de los secretos empresariales previstas en el ALSE se ventilen por los trámites del juicio ordinario, sin otra excepción que aquellas acciones que tengan por exclusivo objeto reclamaciones de cantidad, en similares términos a los previstos en el señalado artículo 249.1.4º de la LEC, atendida la  proximidad del objeto de aquellas acciones con el de las que contempla este precepto, y siendo así que el juicio ordinario se adecua en mayor medida al grado de complejidad que con seguridad habrán de presentar los litigios sobre tutela de los secretos empresariales.</w:t>
            </w:r>
          </w:p>
        </w:tc>
        <w:tc>
          <w:tcPr>
            <w:tcW w:w="5529" w:type="dxa"/>
            <w:shd w:val="clear" w:color="auto" w:fill="auto"/>
            <w:vAlign w:val="center"/>
          </w:tcPr>
          <w:p w:rsidR="00343086" w:rsidRPr="006E5A21" w:rsidRDefault="00343086" w:rsidP="00B11AE9">
            <w:pPr>
              <w:spacing w:before="120" w:after="120" w:line="240" w:lineRule="auto"/>
              <w:ind w:right="175"/>
              <w:contextualSpacing/>
              <w:jc w:val="both"/>
              <w:rPr>
                <w:rFonts w:eastAsia="Calibri" w:cs="Times New Roman"/>
                <w:sz w:val="20"/>
                <w:szCs w:val="20"/>
              </w:rPr>
            </w:pPr>
            <w:r w:rsidRPr="006E5A21">
              <w:rPr>
                <w:rFonts w:eastAsia="Calibri" w:cs="Times New Roman"/>
                <w:b/>
                <w:sz w:val="20"/>
                <w:szCs w:val="20"/>
              </w:rPr>
              <w:t>Art. 8:</w:t>
            </w:r>
            <w:r w:rsidRPr="006E5A21">
              <w:rPr>
                <w:rFonts w:eastAsia="Calibri" w:cs="Times New Roman"/>
                <w:sz w:val="20"/>
                <w:szCs w:val="20"/>
              </w:rPr>
              <w:t xml:space="preserve"> Si bien las acciones de protección de secretos empresariales en su gran mayoría se ventilarán por los trámites del juicio ordinario, el principio de </w:t>
            </w:r>
            <w:proofErr w:type="spellStart"/>
            <w:r w:rsidRPr="006E5A21">
              <w:rPr>
                <w:rFonts w:eastAsia="Calibri" w:cs="Times New Roman"/>
                <w:sz w:val="20"/>
                <w:szCs w:val="20"/>
              </w:rPr>
              <w:t>better</w:t>
            </w:r>
            <w:proofErr w:type="spellEnd"/>
            <w:r w:rsidRPr="006E5A21">
              <w:rPr>
                <w:rFonts w:eastAsia="Calibri" w:cs="Times New Roman"/>
                <w:sz w:val="20"/>
                <w:szCs w:val="20"/>
              </w:rPr>
              <w:t xml:space="preserve"> </w:t>
            </w:r>
            <w:proofErr w:type="spellStart"/>
            <w:r w:rsidRPr="006E5A21">
              <w:rPr>
                <w:rFonts w:eastAsia="Calibri" w:cs="Times New Roman"/>
                <w:sz w:val="20"/>
                <w:szCs w:val="20"/>
              </w:rPr>
              <w:t>regulation</w:t>
            </w:r>
            <w:proofErr w:type="spellEnd"/>
            <w:r w:rsidRPr="006E5A21">
              <w:rPr>
                <w:rFonts w:eastAsia="Calibri" w:cs="Times New Roman"/>
                <w:sz w:val="20"/>
                <w:szCs w:val="20"/>
              </w:rPr>
              <w:t xml:space="preserve"> desaconseja incluir en esta ley reglas especiales que se aparten de las generales de la LEC </w:t>
            </w:r>
            <w:r w:rsidR="00B11AE9" w:rsidRPr="006E5A21">
              <w:rPr>
                <w:rFonts w:eastAsia="Calibri" w:cs="Times New Roman"/>
                <w:sz w:val="20"/>
                <w:szCs w:val="20"/>
              </w:rPr>
              <w:t>(</w:t>
            </w:r>
            <w:r w:rsidRPr="006E5A21">
              <w:rPr>
                <w:rFonts w:eastAsia="Calibri" w:cs="Times New Roman"/>
                <w:sz w:val="20"/>
                <w:szCs w:val="20"/>
              </w:rPr>
              <w:t>a la que</w:t>
            </w:r>
            <w:r w:rsidR="00B11AE9" w:rsidRPr="006E5A21">
              <w:rPr>
                <w:rFonts w:eastAsia="Calibri" w:cs="Times New Roman"/>
                <w:sz w:val="20"/>
                <w:szCs w:val="20"/>
              </w:rPr>
              <w:t>, por lo demás,</w:t>
            </w:r>
            <w:r w:rsidRPr="006E5A21">
              <w:rPr>
                <w:rFonts w:eastAsia="Calibri" w:cs="Times New Roman"/>
                <w:sz w:val="20"/>
                <w:szCs w:val="20"/>
              </w:rPr>
              <w:t xml:space="preserve"> </w:t>
            </w:r>
            <w:r w:rsidR="00B11AE9" w:rsidRPr="006E5A21">
              <w:rPr>
                <w:rFonts w:eastAsia="Calibri" w:cs="Times New Roman"/>
                <w:sz w:val="20"/>
                <w:szCs w:val="20"/>
              </w:rPr>
              <w:t>este</w:t>
            </w:r>
            <w:r w:rsidRPr="006E5A21">
              <w:rPr>
                <w:rFonts w:eastAsia="Calibri" w:cs="Times New Roman"/>
                <w:sz w:val="20"/>
                <w:szCs w:val="20"/>
              </w:rPr>
              <w:t xml:space="preserve"> APL se remite expresamente</w:t>
            </w:r>
            <w:r w:rsidR="00B11AE9" w:rsidRPr="006E5A21">
              <w:rPr>
                <w:rFonts w:eastAsia="Calibri" w:cs="Times New Roman"/>
                <w:sz w:val="20"/>
                <w:szCs w:val="20"/>
              </w:rPr>
              <w:t>)</w:t>
            </w:r>
            <w:r w:rsidRPr="006E5A21">
              <w:rPr>
                <w:rFonts w:eastAsia="Calibri" w:cs="Times New Roman"/>
                <w:sz w:val="20"/>
                <w:szCs w:val="20"/>
              </w:rPr>
              <w:t xml:space="preserve">. </w:t>
            </w:r>
          </w:p>
        </w:tc>
      </w:tr>
      <w:tr w:rsidR="00343086" w:rsidRPr="006E5A21" w:rsidTr="0082764F">
        <w:trPr>
          <w:trHeight w:val="738"/>
        </w:trPr>
        <w:tc>
          <w:tcPr>
            <w:tcW w:w="1418" w:type="dxa"/>
            <w:vMerge w:val="restart"/>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Art. 9</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CNMC</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b/>
                <w:sz w:val="20"/>
                <w:szCs w:val="20"/>
              </w:rPr>
            </w:pPr>
            <w:r w:rsidRPr="006E5A21">
              <w:rPr>
                <w:rFonts w:eastAsia="Calibri" w:cs="Arial"/>
                <w:b/>
                <w:sz w:val="20"/>
                <w:szCs w:val="20"/>
              </w:rPr>
              <w:t>Art. 9:</w:t>
            </w:r>
            <w:r w:rsidRPr="006E5A21">
              <w:rPr>
                <w:rFonts w:eastAsia="Calibri" w:cs="Arial"/>
                <w:sz w:val="20"/>
                <w:szCs w:val="20"/>
              </w:rPr>
              <w:t xml:space="preserve"> la CNMC recuerda que ha mantenido en anteriores ocasiones una aproximación expansiva de la legitimación para impugnar en el campo de la propiedad industrial, reclamando que la misma fuera pública, salvo excepción. Se trata de una recomendación que finalmente fue recogida en el artículo 103.1 del texto final aprobado de la Ley 24/2015 de 24 de julio, de Patentes. Siendo el ámbito de aplicación de ambas leyes (Ley de Patentes/APL secretos empresariales) similar en cuanto a los objetivos públicos que persiguen, cabe recomendar un planteamiento semejante en este caso. Ello permitiría la legitimación del licenciatario (art. 8 del APL) aún sin autorización en su licencia.</w:t>
            </w: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Calibri" w:cs="Times New Roman"/>
                <w:b/>
                <w:sz w:val="20"/>
                <w:szCs w:val="20"/>
              </w:rPr>
              <w:t>Art. 9:</w:t>
            </w:r>
            <w:r w:rsidRPr="006E5A21">
              <w:rPr>
                <w:rFonts w:eastAsia="Calibri" w:cs="Times New Roman"/>
                <w:sz w:val="20"/>
                <w:szCs w:val="20"/>
              </w:rPr>
              <w:t xml:space="preserve"> </w:t>
            </w:r>
            <w:r w:rsidRPr="006E5A21">
              <w:rPr>
                <w:rFonts w:eastAsia="Times New Roman" w:cs="Times New Roman"/>
                <w:color w:val="000000"/>
                <w:sz w:val="20"/>
                <w:szCs w:val="20"/>
              </w:rPr>
              <w:t>En el caso de los secretos comerciales, siguiendo la directiva, la legitimación</w:t>
            </w:r>
            <w:r w:rsidRPr="006E5A21">
              <w:rPr>
                <w:rFonts w:eastAsia="Calibri" w:cs="Times New Roman"/>
                <w:sz w:val="20"/>
                <w:szCs w:val="20"/>
              </w:rPr>
              <w:t xml:space="preserve"> </w:t>
            </w:r>
            <w:r w:rsidRPr="006E5A21">
              <w:rPr>
                <w:rFonts w:eastAsia="Times New Roman" w:cs="Times New Roman"/>
                <w:color w:val="000000"/>
                <w:sz w:val="20"/>
                <w:szCs w:val="20"/>
              </w:rPr>
              <w:t xml:space="preserve">para el ejercicio de acciones le pertenece </w:t>
            </w:r>
            <w:r w:rsidRPr="006E5A21">
              <w:rPr>
                <w:rFonts w:eastAsia="Times New Roman" w:cs="Times New Roman"/>
                <w:i/>
                <w:color w:val="000000"/>
                <w:sz w:val="20"/>
                <w:szCs w:val="20"/>
              </w:rPr>
              <w:t xml:space="preserve">ex </w:t>
            </w:r>
            <w:proofErr w:type="spellStart"/>
            <w:r w:rsidRPr="006E5A21">
              <w:rPr>
                <w:rFonts w:eastAsia="Times New Roman" w:cs="Times New Roman"/>
                <w:i/>
                <w:color w:val="000000"/>
                <w:sz w:val="20"/>
                <w:szCs w:val="20"/>
              </w:rPr>
              <w:t>lege</w:t>
            </w:r>
            <w:proofErr w:type="spellEnd"/>
            <w:r w:rsidRPr="006E5A21">
              <w:rPr>
                <w:rFonts w:eastAsia="Times New Roman" w:cs="Times New Roman"/>
                <w:color w:val="000000"/>
                <w:sz w:val="20"/>
                <w:szCs w:val="20"/>
              </w:rPr>
              <w:t xml:space="preserve"> al titular del secreto con carácter general y</w:t>
            </w:r>
            <w:r w:rsidR="004A6043">
              <w:rPr>
                <w:rFonts w:eastAsia="Times New Roman" w:cs="Times New Roman"/>
                <w:color w:val="000000"/>
                <w:sz w:val="20"/>
                <w:szCs w:val="20"/>
              </w:rPr>
              <w:t xml:space="preserve"> al licenciatario con autorización de aquél.</w:t>
            </w:r>
            <w:r w:rsidRPr="006E5A21">
              <w:rPr>
                <w:rFonts w:eastAsia="Times New Roman" w:cs="Times New Roman"/>
                <w:color w:val="000000"/>
                <w:sz w:val="20"/>
                <w:szCs w:val="20"/>
              </w:rPr>
              <w:t xml:space="preserve"> </w:t>
            </w:r>
            <w:r w:rsidR="004A6043">
              <w:rPr>
                <w:rFonts w:eastAsia="Times New Roman" w:cs="Times New Roman"/>
                <w:color w:val="000000"/>
                <w:sz w:val="20"/>
                <w:szCs w:val="20"/>
              </w:rPr>
              <w:t>P</w:t>
            </w:r>
            <w:r w:rsidRPr="006E5A21">
              <w:rPr>
                <w:rFonts w:eastAsia="Times New Roman" w:cs="Times New Roman"/>
                <w:color w:val="000000"/>
                <w:sz w:val="20"/>
                <w:szCs w:val="20"/>
              </w:rPr>
              <w:t>ara los demás, se completa la regulación con el específico apartado 2 del art. 9 dotándoles así de la debida seguridad jurídica</w:t>
            </w:r>
            <w:r w:rsidR="004A6043">
              <w:rPr>
                <w:rFonts w:eastAsia="Times New Roman" w:cs="Times New Roman"/>
                <w:color w:val="000000"/>
                <w:sz w:val="20"/>
                <w:szCs w:val="20"/>
              </w:rPr>
              <w:t xml:space="preserve"> (con legitimación de segundo grado en caso de inactividad del titular, que falle al garantizar el goce pacífico)</w:t>
            </w:r>
            <w:r w:rsidRPr="006E5A21">
              <w:rPr>
                <w:rFonts w:eastAsia="Times New Roman" w:cs="Times New Roman"/>
                <w:color w:val="000000"/>
                <w:sz w:val="20"/>
                <w:szCs w:val="20"/>
              </w:rPr>
              <w:t>.</w:t>
            </w:r>
          </w:p>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p>
          <w:p w:rsidR="00343086" w:rsidRPr="006E5A21" w:rsidRDefault="00343086" w:rsidP="004A6043">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color w:val="000000"/>
                <w:sz w:val="20"/>
                <w:szCs w:val="20"/>
              </w:rPr>
              <w:t xml:space="preserve">Esta diferencia con el régimen de patentes se justifica porque en secretos empresariales el valor del secreto reside </w:t>
            </w:r>
            <w:r w:rsidRPr="006E5A21">
              <w:rPr>
                <w:rFonts w:eastAsia="Times New Roman" w:cs="Times New Roman"/>
                <w:color w:val="000000"/>
                <w:sz w:val="20"/>
                <w:szCs w:val="20"/>
              </w:rPr>
              <w:lastRenderedPageBreak/>
              <w:t>precisamente en que éste sea mantenido como tal y todo procedimiento conlleva un riesgo de revelación a pesar de las cautelas que puedan adoptarse.</w:t>
            </w:r>
            <w:r w:rsidR="004A6043">
              <w:rPr>
                <w:rFonts w:eastAsia="Times New Roman" w:cs="Times New Roman"/>
                <w:color w:val="000000"/>
                <w:sz w:val="20"/>
                <w:szCs w:val="20"/>
              </w:rPr>
              <w:t xml:space="preserve"> Por ello, se focaliza la legitimación en el titular del secreto empresarial: él dispone de ella, pudiendo autorizar al licenciatario; en caso contrario, éste podrá intervenir en caso de inactividad del titular.</w:t>
            </w: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 xml:space="preserve">Art. 9: </w:t>
            </w:r>
            <w:r w:rsidRPr="006E5A21">
              <w:rPr>
                <w:rFonts w:eastAsia="Calibri" w:cs="Arial"/>
                <w:sz w:val="20"/>
                <w:szCs w:val="20"/>
              </w:rPr>
              <w:t>Junto con la legitimación ordinaria del titular del secreto empresarial, el artículo 9.1 ALSE contempla la legitimación de los licenciatarios, exclusivos o no, que estén autorizados expresamente para el ejercicio de las acciones. No queda claro, sin embargo, si la legitimación de estos últimos es, como parece a la vista de lo dispuesto en el apartado tercero del artículo 9 ALSE, una legitimación extraordinaria que desplaza la originaria del titular, de forma que su papel en el proceso se identifica con el de un interviniente voluntario, con los efectos previstos en el artículo 13 de la LEC, correspondiendo la legitimación propiamente dicha al licenciatario por sustitución del legitimado ordinario. Por otra parte, y toda vez que se reconoce legitimación al licenciatario, tanto en los casos de licencias exclusivas como en aquellos casos de licencias que no tengan tal carácter, no se contempla la eventual concurrencia de diversos licenciatarios a quienes quepa reconocer la condición de legitimados.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En el apartado segundo del artículo 9 se regula la legitimación del licenciatario que no está autorizado expresamente para el ejercicio de las acciones de defensa del secreto empresarial, cuando, requerido fehacientemente al efecto, el titular no entabla la acción judicial correspondiente. Es este un supuesto de legitimación subsidiara similar al que el ordenamiento jurídico prevé en diferentes supuestos (por ejemplo, en el artículo 352.3 del Texto Refundido de la Ley de Sociedades de Capital, aprobado por Real </w:t>
            </w:r>
            <w:r w:rsidRPr="006E5A21">
              <w:rPr>
                <w:rFonts w:eastAsia="Calibri" w:cs="Arial"/>
                <w:sz w:val="20"/>
                <w:szCs w:val="20"/>
              </w:rPr>
              <w:lastRenderedPageBreak/>
              <w:t>Decreto Legislativo 1/2010, de 2 de julio, para ejercitar las acciones de exclusión de socios, o en el artículo 72.1 de la Ley 22/2003, de 9 de julio, Concursal, para el ejercicio de las acciones rescisorias y demás acciones impugnatorias). El precepto, sin embargo, no despeja las dudas que surgen en relación con la prescripción y su interrupción, cuando la acción se ejercita de forma subsidiaria por el licenciatario después de haber requerido al titular del secreto y no haber ejercitado este en el plazo de un mes la correspondiente acción. Tampoco aclara en qué posición queda el licenciatario que, antes del trascurso de dicho plazo, solicita la adopción de medidas cautelares, tal y como le autoriza el último inciso del artículo 9.2, si el titular del secreto empresarial ejercita finalmente la acción dentro de dicho plazo. Y finalmente, convendría aclarar también el alcance y sentido del apartado tercero de este artículo, y precisar si la notificación fehaciente que ha de dirigir el licenciatario que ha ejercitado la acción al titular comunicándole la pendencia del proceso debe sujetarse a las previsiones del artículo 13 de la LEC o a las del artículo 14.1 del mismo cuerpo legal, y cuál es el carácter de la intervención procesal del titular, si se contempla un supuesto de intervención adhesiva simple, como parece, o de otra naturaleza, como la litisconsorcial.</w:t>
            </w: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Calibri" w:cs="Times New Roman"/>
                <w:sz w:val="20"/>
                <w:szCs w:val="20"/>
              </w:rPr>
            </w:pPr>
            <w:r w:rsidRPr="006E5A21">
              <w:rPr>
                <w:rFonts w:eastAsia="Calibri" w:cs="Times New Roman"/>
                <w:b/>
                <w:sz w:val="20"/>
                <w:szCs w:val="20"/>
              </w:rPr>
              <w:lastRenderedPageBreak/>
              <w:t>Art. 9:</w:t>
            </w:r>
            <w:r w:rsidRPr="006E5A21">
              <w:rPr>
                <w:rFonts w:eastAsia="Calibri" w:cs="Times New Roman"/>
                <w:sz w:val="20"/>
                <w:szCs w:val="20"/>
              </w:rPr>
              <w:t xml:space="preserve"> No se comparten las dudas del CGPJ pues de la lectura de sus tres apartados se deduce que el esquema procesal seguido en este APL es el mismo que el establecido por el art. 117 de la LP.</w:t>
            </w:r>
          </w:p>
          <w:p w:rsidR="00B11AE9" w:rsidRPr="006E5A21" w:rsidRDefault="00B11AE9" w:rsidP="00FB4B5F">
            <w:pPr>
              <w:spacing w:before="120" w:after="120" w:line="240" w:lineRule="auto"/>
              <w:ind w:right="175"/>
              <w:contextualSpacing/>
              <w:jc w:val="both"/>
              <w:rPr>
                <w:rFonts w:eastAsia="Calibri" w:cs="Times New Roman"/>
                <w:sz w:val="20"/>
                <w:szCs w:val="20"/>
              </w:rPr>
            </w:pPr>
          </w:p>
          <w:p w:rsidR="00343086" w:rsidRPr="006E5A21" w:rsidRDefault="00343086" w:rsidP="00FB4B5F">
            <w:pPr>
              <w:spacing w:before="120" w:after="120" w:line="240" w:lineRule="auto"/>
              <w:ind w:right="175"/>
              <w:contextualSpacing/>
              <w:jc w:val="both"/>
              <w:rPr>
                <w:rFonts w:eastAsia="Calibri" w:cs="Times New Roman"/>
                <w:sz w:val="20"/>
                <w:szCs w:val="20"/>
              </w:rPr>
            </w:pPr>
            <w:r w:rsidRPr="006E5A21">
              <w:rPr>
                <w:rFonts w:eastAsia="Calibri" w:cs="Times New Roman"/>
                <w:sz w:val="20"/>
                <w:szCs w:val="20"/>
              </w:rPr>
              <w:t>En cuanto a la prescripción, se seguirán las reglas del art. 7 del APL por cuanto impone dos condiciones: que ha acción pueda ejercerse, esto es, tras el requerimiento infructuoso, y que haya conocimiento del infractor contra el que dirigir la acción.</w:t>
            </w:r>
          </w:p>
          <w:p w:rsidR="00343086" w:rsidRPr="006E5A21" w:rsidRDefault="00343086" w:rsidP="00FB4B5F">
            <w:pPr>
              <w:spacing w:before="120" w:after="120" w:line="240" w:lineRule="auto"/>
              <w:ind w:right="175"/>
              <w:contextualSpacing/>
              <w:jc w:val="both"/>
              <w:rPr>
                <w:rFonts w:eastAsia="Calibri" w:cs="Times New Roman"/>
                <w:sz w:val="20"/>
                <w:szCs w:val="20"/>
              </w:rPr>
            </w:pPr>
          </w:p>
        </w:tc>
      </w:tr>
      <w:tr w:rsidR="00343086" w:rsidRPr="006E5A21" w:rsidTr="0082764F">
        <w:trPr>
          <w:trHeight w:val="738"/>
        </w:trPr>
        <w:tc>
          <w:tcPr>
            <w:tcW w:w="1418" w:type="dxa"/>
            <w:vMerge/>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 xml:space="preserve">Art. 9.1: </w:t>
            </w:r>
            <w:r w:rsidRPr="006E5A21">
              <w:rPr>
                <w:rFonts w:eastAsia="Calibri" w:cs="Arial"/>
                <w:sz w:val="20"/>
                <w:szCs w:val="20"/>
              </w:rPr>
              <w:t>la legitimación para el ejercicio de acciones debería regularse de forma análoga a la prevista en el artículo 117 LP en el que se legitima al licenciatario en exclusiva, sin necesidad de que se autorice expresamente su ejercicio. Proponiéndose la siguiente redacción:</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w:t>
            </w:r>
            <w:r w:rsidRPr="006E5A21">
              <w:rPr>
                <w:rFonts w:eastAsia="Calibri" w:cs="Arial"/>
                <w:i/>
                <w:sz w:val="20"/>
                <w:szCs w:val="20"/>
              </w:rPr>
              <w:t xml:space="preserve">Estarán legitimados para el ejercicio de las acciones de defensa </w:t>
            </w:r>
            <w:r w:rsidRPr="006E5A21">
              <w:rPr>
                <w:rFonts w:eastAsia="Calibri" w:cs="Arial"/>
                <w:i/>
                <w:sz w:val="20"/>
                <w:szCs w:val="20"/>
              </w:rPr>
              <w:lastRenderedPageBreak/>
              <w:t xml:space="preserve">previstas en esta ley el titular del secreto empresarial y quienes acrediten haber obtenido una licencia exclusiva para su explotación. </w:t>
            </w:r>
            <w:r w:rsidRPr="006E5A21">
              <w:rPr>
                <w:rFonts w:eastAsia="Calibri" w:cs="Arial"/>
                <w:i/>
                <w:sz w:val="20"/>
                <w:szCs w:val="20"/>
                <w:u w:val="single"/>
              </w:rPr>
              <w:t xml:space="preserve">Asimismo, quienes acrediten tener una licencia no exclusiva para su explotación estarán legitimados para el ejercicio de acciones cuando </w:t>
            </w:r>
            <w:proofErr w:type="spellStart"/>
            <w:r w:rsidRPr="006E5A21">
              <w:rPr>
                <w:rFonts w:eastAsia="Calibri" w:cs="Arial"/>
                <w:i/>
                <w:sz w:val="20"/>
                <w:szCs w:val="20"/>
                <w:u w:val="single"/>
              </w:rPr>
              <w:t>se</w:t>
            </w:r>
            <w:proofErr w:type="spellEnd"/>
            <w:r w:rsidRPr="006E5A21">
              <w:rPr>
                <w:rFonts w:eastAsia="Calibri" w:cs="Arial"/>
                <w:i/>
                <w:sz w:val="20"/>
                <w:szCs w:val="20"/>
              </w:rPr>
              <w:t xml:space="preserve"> </w:t>
            </w:r>
            <w:r w:rsidRPr="006E5A21">
              <w:rPr>
                <w:rFonts w:eastAsia="Calibri" w:cs="Arial"/>
                <w:i/>
                <w:strike/>
                <w:sz w:val="20"/>
                <w:szCs w:val="20"/>
              </w:rPr>
              <w:t>que</w:t>
            </w:r>
            <w:r w:rsidRPr="006E5A21">
              <w:rPr>
                <w:rFonts w:eastAsia="Calibri" w:cs="Arial"/>
                <w:i/>
                <w:sz w:val="20"/>
                <w:szCs w:val="20"/>
              </w:rPr>
              <w:t xml:space="preserve"> les autorice expresamente dicho ejercicio</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b/>
                <w:color w:val="000000"/>
                <w:sz w:val="20"/>
                <w:szCs w:val="20"/>
              </w:rPr>
              <w:lastRenderedPageBreak/>
              <w:t>Art. 9.1:</w:t>
            </w:r>
            <w:r w:rsidRPr="006E5A21">
              <w:rPr>
                <w:rFonts w:eastAsia="Times New Roman" w:cs="Times New Roman"/>
                <w:color w:val="000000"/>
                <w:sz w:val="20"/>
                <w:szCs w:val="20"/>
              </w:rPr>
              <w:t xml:space="preserve"> En el caso de los secretos comerciales, siguiendo la directiva, la legitimación</w:t>
            </w:r>
            <w:r w:rsidRPr="006E5A21">
              <w:rPr>
                <w:rFonts w:eastAsia="Calibri" w:cs="Times New Roman"/>
                <w:sz w:val="20"/>
                <w:szCs w:val="20"/>
              </w:rPr>
              <w:t xml:space="preserve"> </w:t>
            </w:r>
            <w:r w:rsidRPr="006E5A21">
              <w:rPr>
                <w:rFonts w:eastAsia="Times New Roman" w:cs="Times New Roman"/>
                <w:color w:val="000000"/>
                <w:sz w:val="20"/>
                <w:szCs w:val="20"/>
              </w:rPr>
              <w:t xml:space="preserve">para el ejercicio de acciones le pertenece </w:t>
            </w:r>
            <w:r w:rsidRPr="006E5A21">
              <w:rPr>
                <w:rFonts w:eastAsia="Times New Roman" w:cs="Times New Roman"/>
                <w:i/>
                <w:color w:val="000000"/>
                <w:sz w:val="20"/>
                <w:szCs w:val="20"/>
              </w:rPr>
              <w:t xml:space="preserve">ex </w:t>
            </w:r>
            <w:proofErr w:type="spellStart"/>
            <w:r w:rsidRPr="006E5A21">
              <w:rPr>
                <w:rFonts w:eastAsia="Times New Roman" w:cs="Times New Roman"/>
                <w:i/>
                <w:color w:val="000000"/>
                <w:sz w:val="20"/>
                <w:szCs w:val="20"/>
              </w:rPr>
              <w:t>lege</w:t>
            </w:r>
            <w:proofErr w:type="spellEnd"/>
            <w:r w:rsidRPr="006E5A21">
              <w:rPr>
                <w:rFonts w:eastAsia="Times New Roman" w:cs="Times New Roman"/>
                <w:color w:val="000000"/>
                <w:sz w:val="20"/>
                <w:szCs w:val="20"/>
              </w:rPr>
              <w:t xml:space="preserve"> al titular del secreto con carácter general y</w:t>
            </w:r>
            <w:r w:rsidR="004A6043">
              <w:t xml:space="preserve"> </w:t>
            </w:r>
            <w:r w:rsidR="004A6043" w:rsidRPr="004A6043">
              <w:rPr>
                <w:rFonts w:eastAsia="Times New Roman" w:cs="Times New Roman"/>
                <w:color w:val="000000"/>
                <w:sz w:val="20"/>
                <w:szCs w:val="20"/>
              </w:rPr>
              <w:t>al licenciatario con autorización de aquél.</w:t>
            </w:r>
            <w:r w:rsidRPr="006E5A21">
              <w:rPr>
                <w:rFonts w:eastAsia="Times New Roman" w:cs="Times New Roman"/>
                <w:color w:val="000000"/>
                <w:sz w:val="20"/>
                <w:szCs w:val="20"/>
              </w:rPr>
              <w:t xml:space="preserve"> </w:t>
            </w:r>
            <w:r w:rsidR="004A6043">
              <w:rPr>
                <w:rFonts w:eastAsia="Times New Roman" w:cs="Times New Roman"/>
                <w:color w:val="000000"/>
                <w:sz w:val="20"/>
                <w:szCs w:val="20"/>
              </w:rPr>
              <w:t>P</w:t>
            </w:r>
            <w:r w:rsidRPr="006E5A21">
              <w:rPr>
                <w:rFonts w:eastAsia="Times New Roman" w:cs="Times New Roman"/>
                <w:color w:val="000000"/>
                <w:sz w:val="20"/>
                <w:szCs w:val="20"/>
              </w:rPr>
              <w:t>ara los demás, se completa la regulación con el específico apartado 2 del art. 9 dotándoles así de la debida seguridad jurídica</w:t>
            </w:r>
            <w:r w:rsidR="004A6043">
              <w:rPr>
                <w:rFonts w:eastAsia="Times New Roman" w:cs="Times New Roman"/>
                <w:color w:val="000000"/>
                <w:sz w:val="20"/>
                <w:szCs w:val="20"/>
              </w:rPr>
              <w:t xml:space="preserve"> </w:t>
            </w:r>
            <w:r w:rsidR="004A6043" w:rsidRPr="004A6043">
              <w:rPr>
                <w:rFonts w:eastAsia="Times New Roman" w:cs="Times New Roman"/>
                <w:color w:val="000000"/>
                <w:sz w:val="20"/>
                <w:szCs w:val="20"/>
              </w:rPr>
              <w:t>(con legitimación de segundo grado en caso de inactividad del titular, que falle al garantizar el goce pacífico)</w:t>
            </w:r>
            <w:r w:rsidRPr="006E5A21">
              <w:rPr>
                <w:rFonts w:eastAsia="Times New Roman" w:cs="Times New Roman"/>
                <w:color w:val="000000"/>
                <w:sz w:val="20"/>
                <w:szCs w:val="20"/>
              </w:rPr>
              <w:t>.</w:t>
            </w:r>
          </w:p>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r w:rsidRPr="006E5A21">
              <w:rPr>
                <w:rFonts w:eastAsia="Times New Roman" w:cs="Times New Roman"/>
                <w:color w:val="000000"/>
                <w:sz w:val="20"/>
                <w:szCs w:val="20"/>
              </w:rPr>
              <w:t xml:space="preserve">Esta diferencia con el régimen de patentes se justifica porque en secretos empresariales el valor del secreto reside precisamente en que éste sea mantenido como tal y todo procedimiento conlleva un riesgo de revelación a pesar de las cautelas que puedan adoptarse. </w:t>
            </w:r>
            <w:r w:rsidR="004A6043" w:rsidRPr="004A6043">
              <w:rPr>
                <w:rFonts w:eastAsia="Times New Roman" w:cs="Times New Roman"/>
                <w:color w:val="000000"/>
                <w:sz w:val="20"/>
                <w:szCs w:val="20"/>
              </w:rPr>
              <w:t>Por ello, se focaliza la legitimación en el titular del secreto empresarial: él dispone de ella, pudiendo autorizar al licenciatario; en caso contrario, éste podrá intervenir en caso de inactividad del titular.</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Art. 10</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10:</w:t>
            </w:r>
            <w:r w:rsidRPr="006E5A21">
              <w:rPr>
                <w:rFonts w:eastAsia="Calibri" w:cs="Arial"/>
                <w:sz w:val="20"/>
                <w:szCs w:val="20"/>
              </w:rPr>
              <w:t xml:space="preserve"> sería necesario que, por razones derivadas del principio de reserva de ley orgánica cualificada dispuesto en el artículo 122.1 CE, la atribución competencial contenida en el artículo 10 ALSE estuviera acompañada de la oportuna previsión en la LOPJ de la atribución de esta específica competencia de los Juzgados de lo Mercantil.</w:t>
            </w:r>
          </w:p>
        </w:tc>
        <w:tc>
          <w:tcPr>
            <w:tcW w:w="5529" w:type="dxa"/>
            <w:shd w:val="clear" w:color="auto" w:fill="auto"/>
            <w:vAlign w:val="center"/>
          </w:tcPr>
          <w:p w:rsidR="00343086" w:rsidRPr="006E5A21" w:rsidRDefault="00343086" w:rsidP="00FB4B5F">
            <w:pPr>
              <w:spacing w:before="120" w:after="120"/>
              <w:contextualSpacing/>
              <w:jc w:val="both"/>
              <w:rPr>
                <w:sz w:val="20"/>
                <w:szCs w:val="20"/>
              </w:rPr>
            </w:pPr>
            <w:r w:rsidRPr="006E5A21">
              <w:rPr>
                <w:rFonts w:eastAsia="Calibri" w:cs="Times New Roman"/>
                <w:b/>
                <w:sz w:val="20"/>
                <w:szCs w:val="20"/>
              </w:rPr>
              <w:t>Art. 10:</w:t>
            </w:r>
            <w:r w:rsidRPr="006E5A21">
              <w:rPr>
                <w:rFonts w:eastAsia="Calibri" w:cs="Times New Roman"/>
                <w:sz w:val="20"/>
                <w:szCs w:val="20"/>
              </w:rPr>
              <w:t xml:space="preserve"> </w:t>
            </w:r>
            <w:r w:rsidRPr="006E5A21">
              <w:rPr>
                <w:sz w:val="20"/>
                <w:szCs w:val="20"/>
              </w:rPr>
              <w:t>Se hace innecesaria la modificación de la LOPJ toda vez que se modifica el art. 13 LCD señalándose que se considera desleal la violación de secretos por lo que las demandas en defensa de los secretos empresariales forman parte de las demandas de competencia desleal y de ahí se deducirá la competencia objetiva. Por su parte, la competencia territorial, seguirá los dictados del art. 10 del APL.</w:t>
            </w:r>
          </w:p>
          <w:p w:rsidR="00343086" w:rsidRPr="006E5A21" w:rsidRDefault="00343086" w:rsidP="00FB4B5F">
            <w:pPr>
              <w:spacing w:before="120" w:after="120" w:line="240" w:lineRule="auto"/>
              <w:ind w:right="175"/>
              <w:contextualSpacing/>
              <w:jc w:val="both"/>
              <w:rPr>
                <w:rFonts w:eastAsia="Calibri" w:cs="Times New Roman"/>
                <w:sz w:val="20"/>
                <w:szCs w:val="20"/>
              </w:rPr>
            </w:pP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Art. 12</w:t>
            </w: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p w:rsidR="00343086" w:rsidRPr="006E5A21" w:rsidRDefault="00343086" w:rsidP="00343086">
            <w:pPr>
              <w:spacing w:before="120" w:after="120" w:line="240" w:lineRule="exact"/>
              <w:contextualSpacing/>
              <w:jc w:val="center"/>
              <w:rPr>
                <w:rFonts w:eastAsia="Times New Roman" w:cs="Times New Roman"/>
                <w:b/>
                <w:bCs/>
                <w:sz w:val="20"/>
                <w:szCs w:val="20"/>
              </w:rPr>
            </w:pP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lastRenderedPageBreak/>
              <w:t>CGPJ</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Art. 12:</w:t>
            </w:r>
            <w:r w:rsidRPr="006E5A21">
              <w:rPr>
                <w:rFonts w:eastAsia="Calibri" w:cs="Arial"/>
                <w:sz w:val="20"/>
                <w:szCs w:val="20"/>
              </w:rPr>
              <w:t xml:space="preserve"> Cabría considerar la conveniencia de extender las diligencias preliminares contempladas en los ordinales séptimo, octavo, décimo y undécimo del artículo 256.1 de la LEC, dado su específico objeto y finalidad, a las acciones de protección de los secretos empresariales, con las debidas adaptaciones al objeto de la tutela de estos.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cs="Verdana"/>
                <w:sz w:val="20"/>
                <w:szCs w:val="20"/>
              </w:rPr>
            </w:pPr>
            <w:r w:rsidRPr="006E5A21">
              <w:rPr>
                <w:rFonts w:cs="Verdana"/>
                <w:sz w:val="20"/>
                <w:szCs w:val="20"/>
              </w:rPr>
              <w:t xml:space="preserve">El contenido del artículo 12 ALSE no es correcto, pues atribuye la legitimación para solicitar la práctica de las diligencias de comprobación de aquellos hechos cuyo conocimiento resulte indispensable para preparar la correspondiente demanda no solo a quien vaya a ejercitar la acción de protección del secreto empresarial, sino también a quien haya ejercitado la acción, lo que no guarda coherencia con aquella finalidad de preparación del juicio. </w:t>
            </w:r>
            <w:r w:rsidRPr="006E5A21">
              <w:rPr>
                <w:rFonts w:cs="Verdana"/>
                <w:sz w:val="20"/>
                <w:szCs w:val="20"/>
              </w:rPr>
              <w:lastRenderedPageBreak/>
              <w:t xml:space="preserve">Se sugiere, por tato, que la redacción se acomode a lo dispuesto en el apartado primero del artículo 123 de la Ley de Patentes. </w:t>
            </w:r>
          </w:p>
        </w:tc>
        <w:tc>
          <w:tcPr>
            <w:tcW w:w="5529"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lastRenderedPageBreak/>
              <w:t>Art. 12:</w:t>
            </w:r>
            <w:r w:rsidRPr="006E5A21">
              <w:rPr>
                <w:rFonts w:eastAsia="Calibri" w:cs="Arial"/>
                <w:sz w:val="20"/>
                <w:szCs w:val="20"/>
              </w:rPr>
              <w:t xml:space="preserve"> SE ACEPTA PARCIALMENTE respecto de la particularidad temporal del precepto por lo que se elimina del texto el inciso “</w:t>
            </w:r>
            <w:r w:rsidRPr="006E5A21">
              <w:rPr>
                <w:rFonts w:eastAsia="Calibri" w:cs="Arial"/>
                <w:i/>
                <w:sz w:val="20"/>
                <w:szCs w:val="20"/>
              </w:rPr>
              <w:t>quien ejercite</w:t>
            </w:r>
            <w:r w:rsidRPr="006E5A21">
              <w:rPr>
                <w:rFonts w:eastAsia="Calibri" w:cs="Arial"/>
                <w:sz w:val="20"/>
                <w:szCs w:val="20"/>
              </w:rPr>
              <w:t>” limitándolo a “</w:t>
            </w:r>
            <w:r w:rsidRPr="006E5A21">
              <w:rPr>
                <w:rFonts w:eastAsia="Calibri" w:cs="Arial"/>
                <w:i/>
                <w:sz w:val="20"/>
                <w:szCs w:val="20"/>
              </w:rPr>
              <w:t>quien vaya a ejercitar una acción</w:t>
            </w:r>
            <w:r w:rsidRPr="006E5A21">
              <w:rPr>
                <w:rFonts w:eastAsia="Calibri" w:cs="Arial"/>
                <w:sz w:val="20"/>
                <w:szCs w:val="20"/>
              </w:rPr>
              <w:t>”.</w:t>
            </w:r>
          </w:p>
          <w:p w:rsidR="00B11AE9" w:rsidRPr="006E5A21" w:rsidRDefault="00B11AE9" w:rsidP="00FB4B5F">
            <w:pPr>
              <w:spacing w:before="120" w:after="120" w:line="240" w:lineRule="auto"/>
              <w:ind w:right="175"/>
              <w:contextualSpacing/>
              <w:jc w:val="both"/>
              <w:rPr>
                <w:rFonts w:eastAsia="Calibri" w:cs="Times New Roman"/>
                <w:sz w:val="20"/>
                <w:szCs w:val="20"/>
              </w:rPr>
            </w:pPr>
          </w:p>
          <w:p w:rsidR="00343086" w:rsidRPr="006E5A21" w:rsidRDefault="00343086" w:rsidP="00B11AE9">
            <w:pPr>
              <w:spacing w:before="120" w:after="120" w:line="240" w:lineRule="auto"/>
              <w:ind w:right="175"/>
              <w:contextualSpacing/>
              <w:jc w:val="both"/>
              <w:rPr>
                <w:rFonts w:eastAsia="Calibri" w:cs="Times New Roman"/>
                <w:sz w:val="20"/>
                <w:szCs w:val="20"/>
              </w:rPr>
            </w:pPr>
            <w:r w:rsidRPr="006E5A21">
              <w:rPr>
                <w:rFonts w:eastAsia="Calibri" w:cs="Times New Roman"/>
                <w:sz w:val="20"/>
                <w:szCs w:val="20"/>
              </w:rPr>
              <w:t>Por lo demás, la observación formulada no parece haber tenido suficientemente en cuenta que ha sido voluntad del APL que las diligencias de comprobación de secretos empresariales sigan las reglas establecidas por la LP en sus arts. 123 a 126, los cuales se aplicarán sin perjuicio de lo dispuesto</w:t>
            </w:r>
            <w:r w:rsidR="00B11AE9" w:rsidRPr="006E5A21">
              <w:rPr>
                <w:sz w:val="20"/>
                <w:szCs w:val="20"/>
              </w:rPr>
              <w:t xml:space="preserve"> </w:t>
            </w:r>
            <w:r w:rsidR="00B11AE9" w:rsidRPr="006E5A21">
              <w:rPr>
                <w:rFonts w:eastAsia="Calibri" w:cs="Times New Roman"/>
                <w:sz w:val="20"/>
                <w:szCs w:val="20"/>
              </w:rPr>
              <w:t>en su conjunto</w:t>
            </w:r>
            <w:r w:rsidRPr="006E5A21">
              <w:rPr>
                <w:rFonts w:eastAsia="Calibri" w:cs="Times New Roman"/>
                <w:sz w:val="20"/>
                <w:szCs w:val="20"/>
              </w:rPr>
              <w:t xml:space="preserve"> por el art. 256.1 de la LEC (ordinales 1º a 11º) pues a éste se remite el art. 123.1 de la LP. </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lastRenderedPageBreak/>
              <w:t>Nueva Disposición Final</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MINETAD</w:t>
            </w:r>
          </w:p>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(SGT)</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Times New Roman" w:cs="Arial"/>
                <w:b/>
                <w:bCs/>
                <w:sz w:val="20"/>
                <w:szCs w:val="20"/>
              </w:rPr>
              <w:t>Nueva Disposición Final</w:t>
            </w:r>
            <w:r w:rsidRPr="006E5A21">
              <w:rPr>
                <w:rFonts w:eastAsia="Calibri" w:cs="Arial"/>
                <w:b/>
                <w:sz w:val="20"/>
                <w:szCs w:val="20"/>
              </w:rPr>
              <w:t>:</w:t>
            </w:r>
            <w:r w:rsidRPr="006E5A21">
              <w:rPr>
                <w:rFonts w:eastAsia="Calibri" w:cs="Arial"/>
                <w:sz w:val="20"/>
                <w:szCs w:val="20"/>
              </w:rPr>
              <w:t xml:space="preserve"> Se plantea la posibilidad de prever una disposición final relativa al desarrollo reglamentario de la ley.</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r w:rsidRPr="006E5A21">
              <w:rPr>
                <w:rFonts w:eastAsia="Times New Roman" w:cs="Times New Roman"/>
                <w:b/>
                <w:bCs/>
                <w:sz w:val="20"/>
                <w:szCs w:val="20"/>
              </w:rPr>
              <w:t>Nueva Disposición Final</w:t>
            </w:r>
            <w:r w:rsidRPr="006E5A21">
              <w:rPr>
                <w:rFonts w:eastAsia="Times New Roman" w:cs="Times New Roman"/>
                <w:b/>
                <w:color w:val="000000"/>
                <w:sz w:val="20"/>
                <w:szCs w:val="20"/>
              </w:rPr>
              <w:t xml:space="preserve">: </w:t>
            </w:r>
            <w:r w:rsidRPr="006E5A21">
              <w:rPr>
                <w:rFonts w:eastAsia="Times New Roman" w:cs="Times New Roman"/>
                <w:color w:val="000000"/>
                <w:sz w:val="20"/>
                <w:szCs w:val="20"/>
              </w:rPr>
              <w:t xml:space="preserve">A diferencia de lo que sucede en patentes, en el caso de los secretos comerciales no hay intervención pública alguna. Es más, toda intervención en este sentido (soporte físico, registro, concesión, etc.) comporta un riesgo de revelación que no hace sino perder al secreto su valor. </w:t>
            </w:r>
          </w:p>
          <w:p w:rsidR="00343086" w:rsidRPr="006E5A21" w:rsidRDefault="00343086" w:rsidP="00FB4B5F">
            <w:pPr>
              <w:spacing w:before="120" w:after="120" w:line="240" w:lineRule="auto"/>
              <w:ind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r w:rsidRPr="006E5A21">
              <w:rPr>
                <w:rFonts w:eastAsia="Times New Roman" w:cs="Times New Roman"/>
                <w:color w:val="000000"/>
                <w:sz w:val="20"/>
                <w:szCs w:val="20"/>
              </w:rPr>
              <w:t>Por ello, el presente APL no requiere de desarrollo reglamentario pues no hay registro ni procedimiento alguno ante la administración que precisen de una regulación detallada.</w:t>
            </w:r>
          </w:p>
        </w:tc>
      </w:tr>
      <w:tr w:rsidR="00343086" w:rsidRPr="006E5A21" w:rsidTr="0082764F">
        <w:trPr>
          <w:trHeight w:val="738"/>
        </w:trPr>
        <w:tc>
          <w:tcPr>
            <w:tcW w:w="1418" w:type="dxa"/>
            <w:shd w:val="clear" w:color="auto" w:fill="auto"/>
            <w:vAlign w:val="center"/>
          </w:tcPr>
          <w:p w:rsidR="00343086" w:rsidRPr="006E5A21" w:rsidRDefault="00343086" w:rsidP="00343086">
            <w:pPr>
              <w:spacing w:before="120" w:after="120" w:line="240" w:lineRule="exact"/>
              <w:contextualSpacing/>
              <w:jc w:val="center"/>
              <w:rPr>
                <w:rFonts w:eastAsia="Times New Roman" w:cs="Times New Roman"/>
                <w:b/>
                <w:bCs/>
                <w:sz w:val="20"/>
                <w:szCs w:val="20"/>
              </w:rPr>
            </w:pPr>
            <w:r w:rsidRPr="006E5A21">
              <w:rPr>
                <w:rFonts w:eastAsia="Times New Roman" w:cs="Times New Roman"/>
                <w:b/>
                <w:bCs/>
                <w:sz w:val="20"/>
                <w:szCs w:val="20"/>
              </w:rPr>
              <w:t>Observaciones a la MAIN</w:t>
            </w:r>
          </w:p>
        </w:tc>
        <w:tc>
          <w:tcPr>
            <w:tcW w:w="1418" w:type="dxa"/>
            <w:shd w:val="clear" w:color="auto" w:fill="auto"/>
            <w:vAlign w:val="center"/>
          </w:tcPr>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MINETAD</w:t>
            </w:r>
          </w:p>
          <w:p w:rsidR="00343086" w:rsidRPr="006E5A21" w:rsidRDefault="00343086" w:rsidP="00343086">
            <w:pPr>
              <w:spacing w:before="120" w:after="120" w:line="240" w:lineRule="auto"/>
              <w:contextualSpacing/>
              <w:jc w:val="center"/>
              <w:rPr>
                <w:rFonts w:eastAsia="Times New Roman" w:cs="Times New Roman"/>
                <w:b/>
                <w:color w:val="000000"/>
                <w:sz w:val="20"/>
                <w:szCs w:val="20"/>
              </w:rPr>
            </w:pPr>
            <w:r w:rsidRPr="006E5A21">
              <w:rPr>
                <w:rFonts w:eastAsia="Times New Roman" w:cs="Times New Roman"/>
                <w:b/>
                <w:color w:val="000000"/>
                <w:sz w:val="20"/>
                <w:szCs w:val="20"/>
              </w:rPr>
              <w:t>(SGT)</w:t>
            </w:r>
          </w:p>
        </w:tc>
        <w:tc>
          <w:tcPr>
            <w:tcW w:w="5811" w:type="dxa"/>
            <w:shd w:val="clear" w:color="auto" w:fill="auto"/>
            <w:vAlign w:val="center"/>
          </w:tcPr>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b/>
                <w:sz w:val="20"/>
                <w:szCs w:val="20"/>
              </w:rPr>
              <w:t>Observaciones a la MAIN</w:t>
            </w:r>
            <w:r w:rsidRPr="006E5A21">
              <w:rPr>
                <w:rFonts w:eastAsia="Calibri" w:cs="Arial"/>
                <w:sz w:val="20"/>
                <w:szCs w:val="20"/>
              </w:rPr>
              <w:t xml:space="preserve">: </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1.- Se solicita, en primer lugar, en consonancia con la primera observación de carácter general, que se incluya al Ministerio de Energía, Turismo y Agenda Digital como </w:t>
            </w:r>
            <w:proofErr w:type="spellStart"/>
            <w:r w:rsidRPr="006E5A21">
              <w:rPr>
                <w:rFonts w:eastAsia="Calibri" w:cs="Arial"/>
                <w:sz w:val="20"/>
                <w:szCs w:val="20"/>
              </w:rPr>
              <w:t>coproponente</w:t>
            </w:r>
            <w:proofErr w:type="spellEnd"/>
            <w:r w:rsidRPr="006E5A21">
              <w:rPr>
                <w:rFonts w:eastAsia="Calibri" w:cs="Arial"/>
                <w:sz w:val="20"/>
                <w:szCs w:val="20"/>
              </w:rPr>
              <w:t xml:space="preserve"> de la norma en la ficha del resumen ejecutivo, así como que lo anterior quede reflejado en el correspondiente apartado relativo a la tramitación.</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2.- De acuerdo con la disposición final cuarta, la entrada en vigor de esta ley se prevé a los veinte días de su publicación en el Boletín Oficial del Estado, operando así la </w:t>
            </w:r>
            <w:proofErr w:type="spellStart"/>
            <w:r w:rsidRPr="006E5A21">
              <w:rPr>
                <w:rFonts w:eastAsia="Calibri" w:cs="Arial"/>
                <w:i/>
                <w:iCs/>
                <w:sz w:val="20"/>
                <w:szCs w:val="20"/>
              </w:rPr>
              <w:t>vacatio</w:t>
            </w:r>
            <w:proofErr w:type="spellEnd"/>
            <w:r w:rsidRPr="006E5A21">
              <w:rPr>
                <w:rFonts w:eastAsia="Calibri" w:cs="Arial"/>
                <w:i/>
                <w:iCs/>
                <w:sz w:val="20"/>
                <w:szCs w:val="20"/>
              </w:rPr>
              <w:t xml:space="preserve"> </w:t>
            </w:r>
            <w:proofErr w:type="spellStart"/>
            <w:r w:rsidRPr="006E5A21">
              <w:rPr>
                <w:rFonts w:eastAsia="Calibri" w:cs="Arial"/>
                <w:i/>
                <w:iCs/>
                <w:sz w:val="20"/>
                <w:szCs w:val="20"/>
              </w:rPr>
              <w:t>legis</w:t>
            </w:r>
            <w:proofErr w:type="spellEnd"/>
            <w:r w:rsidRPr="006E5A21">
              <w:rPr>
                <w:rFonts w:eastAsia="Calibri" w:cs="Arial"/>
                <w:i/>
                <w:iCs/>
                <w:sz w:val="20"/>
                <w:szCs w:val="20"/>
              </w:rPr>
              <w:t xml:space="preserve"> </w:t>
            </w:r>
            <w:r w:rsidRPr="006E5A21">
              <w:rPr>
                <w:rFonts w:eastAsia="Calibri" w:cs="Arial"/>
                <w:sz w:val="20"/>
                <w:szCs w:val="20"/>
              </w:rPr>
              <w:t>prevista en el artículo 2.1 del Código Civil.</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Convendría en todo caso justificar adecuadamente en la MAIN que no opera aquí la regla prevista en el artículo 23 de la Ley de Gobierno, es decir, el comienzo de vigencia de la norma legal el 2 de enero o 1 de julio del año en curso, en tanto que no se imponen </w:t>
            </w:r>
            <w:r w:rsidRPr="006E5A21">
              <w:rPr>
                <w:rFonts w:eastAsia="Calibri" w:cs="Arial"/>
                <w:sz w:val="20"/>
                <w:szCs w:val="20"/>
              </w:rPr>
              <w:lastRenderedPageBreak/>
              <w:t>nuevas obligaciones a personas físicas o jurídicas que desempeñen una actividad económica o profesional. En caso contrario, la regla aplicable debería ser la prevista en dicho artículo.</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3.- De incluirse una disposición final relativa al desarrollo reglamentario de la ley, tal y como se ha sugerido, sería conveniente recoger en la MAIN las atribuciones directas de la potestad de desarrollo reglamentario previstas, que tienen su justificación en el artículo 129.4 la Ley 39/2015, de 1 de octubre, del Procedimiento Administrativo Común de las Administraciones Públicas.</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4.- Convendría completar la MAIN recogiendo una valoración de las alegaciones recibidas en el trámite de consulta pública, exponiendo su resultado y su reflejo en el texto del anteproyecto. Lo mismo habría de incluirse en un momento posterior de la tramitación con ocasión de la audiencia e información pública.</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5.- En la página 11 de la MAIN, en su penúltima línea, se ha detectado una reiteración de la palabra “</w:t>
            </w:r>
            <w:r w:rsidRPr="006E5A21">
              <w:rPr>
                <w:rFonts w:eastAsia="Calibri" w:cs="Arial"/>
                <w:i/>
                <w:iCs/>
                <w:sz w:val="20"/>
                <w:szCs w:val="20"/>
              </w:rPr>
              <w:t>intelectual</w:t>
            </w:r>
            <w:r w:rsidRPr="006E5A21">
              <w:rPr>
                <w:rFonts w:eastAsia="Calibri" w:cs="Arial"/>
                <w:sz w:val="20"/>
                <w:szCs w:val="20"/>
              </w:rPr>
              <w:t xml:space="preserve">” que consideramos debería ser cambiada por </w:t>
            </w:r>
            <w:r w:rsidRPr="006E5A21">
              <w:rPr>
                <w:rFonts w:eastAsia="Calibri" w:cs="Arial"/>
                <w:b/>
                <w:bCs/>
                <w:sz w:val="20"/>
                <w:szCs w:val="20"/>
              </w:rPr>
              <w:t>“</w:t>
            </w:r>
            <w:r w:rsidRPr="006E5A21">
              <w:rPr>
                <w:rFonts w:eastAsia="Calibri" w:cs="Arial"/>
                <w:i/>
                <w:iCs/>
                <w:sz w:val="20"/>
                <w:szCs w:val="20"/>
              </w:rPr>
              <w:t>industrial</w:t>
            </w:r>
            <w:r w:rsidRPr="006E5A21">
              <w:rPr>
                <w:rFonts w:eastAsia="Calibri" w:cs="Arial"/>
                <w:sz w:val="20"/>
                <w:szCs w:val="20"/>
              </w:rPr>
              <w:t xml:space="preserve">” al referirse a </w:t>
            </w:r>
            <w:r w:rsidRPr="006E5A21">
              <w:rPr>
                <w:rFonts w:eastAsia="Calibri" w:cs="Arial"/>
                <w:i/>
                <w:iCs/>
                <w:sz w:val="20"/>
                <w:szCs w:val="20"/>
              </w:rPr>
              <w:t>“las acciones de defensa de los derechos de propiedad intelectual e industrial”</w:t>
            </w:r>
            <w:r w:rsidRPr="006E5A21">
              <w:rPr>
                <w:rFonts w:eastAsia="Calibri" w:cs="Arial"/>
                <w:sz w:val="20"/>
                <w:szCs w:val="20"/>
              </w:rPr>
              <w:t>.</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6.- Asimismo, de realizarse los cambios propuestos en las observaciones, tanto de carácter general, como al contenido del proyecto, se deberá modificar, en consecuencia, la MAIN para recoger la nueva ordenación del contenido del mismo.</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r w:rsidRPr="006E5A21">
              <w:rPr>
                <w:rFonts w:eastAsia="Calibri" w:cs="Arial"/>
                <w:sz w:val="20"/>
                <w:szCs w:val="20"/>
              </w:rPr>
              <w:t xml:space="preserve">7.- Por último, se recomienda revisar el texto de la MAIN, así como del propio anteproyecto de ley, para comprobar su adecuación a las Directrices de técnica normativa, así como con vistas a mejorar la </w:t>
            </w:r>
            <w:r w:rsidRPr="006E5A21">
              <w:rPr>
                <w:rFonts w:eastAsia="Calibri" w:cs="Arial"/>
                <w:sz w:val="20"/>
                <w:szCs w:val="20"/>
              </w:rPr>
              <w:lastRenderedPageBreak/>
              <w:t xml:space="preserve">redacción y corregir posibles erratas,   faltas de ortografía y puntuación. A título de ejemplo, la regla 20ª de las Directrices establece que la composición de los </w:t>
            </w:r>
            <w:r w:rsidR="00B00F84">
              <w:rPr>
                <w:rFonts w:eastAsia="Calibri" w:cs="Arial"/>
                <w:sz w:val="20"/>
                <w:szCs w:val="20"/>
              </w:rPr>
              <w:t>c</w:t>
            </w:r>
            <w:r w:rsidRPr="006E5A21">
              <w:rPr>
                <w:rFonts w:eastAsia="Calibri" w:cs="Arial"/>
                <w:sz w:val="20"/>
                <w:szCs w:val="20"/>
              </w:rPr>
              <w:t>apítulos no deberá redactarse en negrita y la regla 29ª de las Directrices señala que la palabra “Artículo” tampoco deberá redactarse en negrita.</w:t>
            </w: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p w:rsidR="00343086" w:rsidRPr="006E5A21" w:rsidRDefault="00343086" w:rsidP="00FB4B5F">
            <w:pPr>
              <w:autoSpaceDE w:val="0"/>
              <w:autoSpaceDN w:val="0"/>
              <w:adjustRightInd w:val="0"/>
              <w:spacing w:before="120" w:after="120" w:line="240" w:lineRule="auto"/>
              <w:contextualSpacing/>
              <w:jc w:val="both"/>
              <w:rPr>
                <w:rFonts w:eastAsia="Calibri" w:cs="Arial"/>
                <w:sz w:val="20"/>
                <w:szCs w:val="20"/>
              </w:rPr>
            </w:pPr>
          </w:p>
        </w:tc>
        <w:tc>
          <w:tcPr>
            <w:tcW w:w="5529" w:type="dxa"/>
            <w:shd w:val="clear" w:color="auto" w:fill="auto"/>
            <w:vAlign w:val="center"/>
          </w:tcPr>
          <w:p w:rsidR="00343086" w:rsidRPr="006E5A21" w:rsidRDefault="00343086" w:rsidP="00FB4B5F">
            <w:pPr>
              <w:spacing w:before="120" w:after="120" w:line="240" w:lineRule="auto"/>
              <w:ind w:right="175"/>
              <w:contextualSpacing/>
              <w:jc w:val="both"/>
              <w:rPr>
                <w:rFonts w:eastAsia="Times New Roman" w:cs="Times New Roman"/>
                <w:b/>
                <w:color w:val="000000"/>
                <w:sz w:val="20"/>
                <w:szCs w:val="20"/>
              </w:rPr>
            </w:pPr>
            <w:r w:rsidRPr="006E5A21">
              <w:rPr>
                <w:rFonts w:eastAsia="Times New Roman" w:cs="Times New Roman"/>
                <w:b/>
                <w:color w:val="000000"/>
                <w:sz w:val="20"/>
                <w:szCs w:val="20"/>
              </w:rPr>
              <w:lastRenderedPageBreak/>
              <w:t>Observaciones a la MAIN:</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r w:rsidRPr="006E5A21">
              <w:rPr>
                <w:rFonts w:eastAsia="Times New Roman" w:cs="Times New Roman"/>
                <w:color w:val="000000"/>
                <w:sz w:val="20"/>
                <w:szCs w:val="20"/>
              </w:rPr>
              <w:t>1.- SE ACEPTA.</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r w:rsidRPr="006E5A21">
              <w:rPr>
                <w:rFonts w:eastAsia="Times New Roman" w:cs="Times New Roman"/>
                <w:color w:val="000000"/>
                <w:sz w:val="20"/>
                <w:szCs w:val="20"/>
              </w:rPr>
              <w:t xml:space="preserve">2.- En el apartado 2.2 de la MAIN ya se explica que la </w:t>
            </w:r>
            <w:proofErr w:type="spellStart"/>
            <w:r w:rsidRPr="006E5A21">
              <w:rPr>
                <w:rFonts w:eastAsia="Times New Roman" w:cs="Times New Roman"/>
                <w:i/>
                <w:color w:val="000000"/>
                <w:sz w:val="20"/>
                <w:szCs w:val="20"/>
              </w:rPr>
              <w:t>vacatio</w:t>
            </w:r>
            <w:proofErr w:type="spellEnd"/>
            <w:r w:rsidRPr="006E5A21">
              <w:rPr>
                <w:rFonts w:eastAsia="Times New Roman" w:cs="Times New Roman"/>
                <w:i/>
                <w:color w:val="000000"/>
                <w:sz w:val="20"/>
                <w:szCs w:val="20"/>
              </w:rPr>
              <w:t xml:space="preserve"> </w:t>
            </w:r>
            <w:proofErr w:type="spellStart"/>
            <w:r w:rsidRPr="006E5A21">
              <w:rPr>
                <w:rFonts w:eastAsia="Times New Roman" w:cs="Times New Roman"/>
                <w:i/>
                <w:color w:val="000000"/>
                <w:sz w:val="20"/>
                <w:szCs w:val="20"/>
              </w:rPr>
              <w:t>legis</w:t>
            </w:r>
            <w:proofErr w:type="spellEnd"/>
            <w:r w:rsidRPr="006E5A21">
              <w:rPr>
                <w:rFonts w:eastAsia="Times New Roman" w:cs="Times New Roman"/>
                <w:color w:val="000000"/>
                <w:sz w:val="20"/>
                <w:szCs w:val="20"/>
              </w:rPr>
              <w:t xml:space="preserve"> de 20 días se debe al objetivo de “</w:t>
            </w:r>
            <w:r w:rsidRPr="006E5A21">
              <w:rPr>
                <w:rFonts w:eastAsia="Times New Roman" w:cs="Times New Roman"/>
                <w:i/>
                <w:color w:val="000000"/>
                <w:sz w:val="20"/>
                <w:szCs w:val="20"/>
              </w:rPr>
              <w:t>dar cumplimiento al plazo de transposición de la Directiva (UE) 2016/943, que finaliza el 9 de junio de 2018</w:t>
            </w:r>
            <w:r w:rsidRPr="006E5A21">
              <w:rPr>
                <w:rFonts w:eastAsia="Times New Roman" w:cs="Times New Roman"/>
                <w:color w:val="000000"/>
                <w:sz w:val="20"/>
                <w:szCs w:val="20"/>
              </w:rPr>
              <w:t>.”.</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r w:rsidRPr="006E5A21">
              <w:rPr>
                <w:rFonts w:eastAsia="Times New Roman" w:cs="Times New Roman"/>
                <w:color w:val="000000"/>
                <w:sz w:val="20"/>
                <w:szCs w:val="20"/>
              </w:rPr>
              <w:t>3.- El presente APL no precisa de desarrollo reglamentario pues, como se ha explicado en el apartado anterior, no hay registro ni procedimiento alguno ante la administración que precisen de una regulación detallada</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r w:rsidRPr="006E5A21">
              <w:rPr>
                <w:rFonts w:eastAsia="Times New Roman" w:cs="Times New Roman"/>
                <w:color w:val="000000"/>
                <w:sz w:val="20"/>
                <w:szCs w:val="20"/>
              </w:rPr>
              <w:t>4.- SE ACEPTA</w:t>
            </w:r>
            <w:r w:rsidR="00881C3C" w:rsidRPr="006E5A21">
              <w:rPr>
                <w:rFonts w:eastAsia="Times New Roman" w:cs="Times New Roman"/>
                <w:color w:val="000000"/>
                <w:sz w:val="20"/>
                <w:szCs w:val="20"/>
              </w:rPr>
              <w:t>.</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aps/>
                <w:sz w:val="20"/>
                <w:szCs w:val="20"/>
              </w:rPr>
            </w:pPr>
            <w:r w:rsidRPr="006E5A21">
              <w:rPr>
                <w:rFonts w:eastAsia="Times New Roman" w:cs="Times New Roman"/>
                <w:color w:val="000000"/>
                <w:sz w:val="20"/>
                <w:szCs w:val="20"/>
              </w:rPr>
              <w:t xml:space="preserve">5.- </w:t>
            </w:r>
            <w:r w:rsidRPr="006E5A21">
              <w:rPr>
                <w:rFonts w:eastAsia="Times New Roman" w:cs="Times New Roman"/>
                <w:caps/>
                <w:sz w:val="20"/>
                <w:szCs w:val="20"/>
              </w:rPr>
              <w:t>Se acepta.</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r w:rsidRPr="006E5A21">
              <w:rPr>
                <w:rFonts w:eastAsia="Times New Roman" w:cs="Times New Roman"/>
                <w:color w:val="000000"/>
                <w:sz w:val="20"/>
                <w:szCs w:val="20"/>
              </w:rPr>
              <w:t xml:space="preserve">6.- SE ACEPTA. </w:t>
            </w: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p>
          <w:p w:rsidR="00343086" w:rsidRPr="006E5A21" w:rsidRDefault="00343086" w:rsidP="00FB4B5F">
            <w:pPr>
              <w:spacing w:before="120" w:after="120" w:line="240" w:lineRule="auto"/>
              <w:ind w:left="317" w:right="175"/>
              <w:contextualSpacing/>
              <w:jc w:val="both"/>
              <w:rPr>
                <w:rFonts w:eastAsia="Times New Roman" w:cs="Times New Roman"/>
                <w:color w:val="000000"/>
                <w:sz w:val="20"/>
                <w:szCs w:val="20"/>
              </w:rPr>
            </w:pPr>
            <w:r w:rsidRPr="006E5A21">
              <w:rPr>
                <w:rFonts w:eastAsia="Times New Roman" w:cs="Times New Roman"/>
                <w:color w:val="000000"/>
                <w:sz w:val="20"/>
                <w:szCs w:val="20"/>
              </w:rPr>
              <w:t xml:space="preserve">7.- </w:t>
            </w:r>
            <w:r w:rsidRPr="006E5A21">
              <w:rPr>
                <w:rFonts w:eastAsia="Times New Roman" w:cs="Times New Roman"/>
                <w:caps/>
                <w:color w:val="000000"/>
                <w:sz w:val="20"/>
                <w:szCs w:val="20"/>
              </w:rPr>
              <w:t>Se acepta</w:t>
            </w:r>
            <w:r w:rsidRPr="006E5A21">
              <w:rPr>
                <w:rFonts w:eastAsia="Times New Roman" w:cs="Times New Roman"/>
                <w:color w:val="000000"/>
                <w:sz w:val="20"/>
                <w:szCs w:val="20"/>
              </w:rPr>
              <w:t>.</w:t>
            </w:r>
          </w:p>
        </w:tc>
      </w:tr>
    </w:tbl>
    <w:p w:rsidR="002A51F9" w:rsidRDefault="002A51F9" w:rsidP="00ED03E1">
      <w:pPr>
        <w:spacing w:before="240" w:after="240"/>
        <w:jc w:val="center"/>
        <w:rPr>
          <w:rFonts w:ascii="Arial" w:hAnsi="Arial" w:cs="Arial"/>
          <w:b/>
          <w:sz w:val="24"/>
          <w:szCs w:val="24"/>
          <w:u w:val="single"/>
        </w:rPr>
      </w:pPr>
    </w:p>
    <w:p w:rsidR="002A51F9" w:rsidRDefault="002A51F9">
      <w:pPr>
        <w:rPr>
          <w:rFonts w:ascii="Arial" w:hAnsi="Arial" w:cs="Arial"/>
          <w:b/>
          <w:sz w:val="24"/>
          <w:szCs w:val="24"/>
          <w:u w:val="single"/>
        </w:rPr>
      </w:pPr>
      <w:r>
        <w:rPr>
          <w:rFonts w:ascii="Arial" w:hAnsi="Arial" w:cs="Arial"/>
          <w:b/>
          <w:sz w:val="24"/>
          <w:szCs w:val="24"/>
          <w:u w:val="single"/>
        </w:rPr>
        <w:br w:type="page"/>
      </w:r>
    </w:p>
    <w:p w:rsidR="00133EE4" w:rsidRPr="00133EE4" w:rsidRDefault="00133EE4" w:rsidP="00151F16">
      <w:pPr>
        <w:pStyle w:val="Ttulo1"/>
      </w:pPr>
      <w:bookmarkStart w:id="30" w:name="_Toc511982538"/>
      <w:r>
        <w:lastRenderedPageBreak/>
        <w:t>ANEXO IV</w:t>
      </w:r>
      <w:bookmarkEnd w:id="30"/>
    </w:p>
    <w:p w:rsidR="00133EE4" w:rsidRPr="00133EE4" w:rsidRDefault="00133EE4" w:rsidP="00133EE4">
      <w:pPr>
        <w:spacing w:before="240" w:after="240"/>
        <w:jc w:val="center"/>
        <w:rPr>
          <w:rFonts w:ascii="Arial" w:hAnsi="Arial" w:cs="Arial"/>
          <w:b/>
          <w:sz w:val="24"/>
          <w:szCs w:val="24"/>
          <w:u w:val="single"/>
        </w:rPr>
      </w:pPr>
      <w:r>
        <w:rPr>
          <w:rFonts w:ascii="Arial" w:hAnsi="Arial" w:cs="Arial"/>
          <w:b/>
          <w:sz w:val="24"/>
          <w:szCs w:val="24"/>
          <w:u w:val="single"/>
        </w:rPr>
        <w:t>Informe MINETAD 19.04.2018</w:t>
      </w:r>
    </w:p>
    <w:p w:rsidR="004172DA" w:rsidRDefault="004172DA" w:rsidP="00ED03E1">
      <w:pPr>
        <w:spacing w:before="240" w:after="240"/>
        <w:jc w:val="center"/>
        <w:rPr>
          <w:rFonts w:ascii="Arial"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1823"/>
        <w:gridCol w:w="5286"/>
        <w:gridCol w:w="5286"/>
      </w:tblGrid>
      <w:tr w:rsidR="004172DA" w:rsidRPr="006E5A21" w:rsidTr="004172DA">
        <w:trPr>
          <w:cantSplit/>
          <w:trHeight w:val="738"/>
          <w:tblHeader/>
        </w:trPr>
        <w:tc>
          <w:tcPr>
            <w:tcW w:w="641" w:type="pct"/>
            <w:shd w:val="clear" w:color="auto" w:fill="FFC000"/>
            <w:vAlign w:val="center"/>
            <w:hideMark/>
          </w:tcPr>
          <w:p w:rsidR="004172DA" w:rsidRPr="004172DA" w:rsidRDefault="004172DA" w:rsidP="00127979">
            <w:pPr>
              <w:spacing w:after="0" w:line="240" w:lineRule="auto"/>
              <w:jc w:val="center"/>
              <w:rPr>
                <w:rFonts w:eastAsia="Times New Roman" w:cs="Times New Roman"/>
                <w:b/>
                <w:sz w:val="20"/>
                <w:szCs w:val="20"/>
              </w:rPr>
            </w:pPr>
            <w:r w:rsidRPr="004172DA">
              <w:rPr>
                <w:rFonts w:eastAsia="Times New Roman" w:cs="Times New Roman"/>
                <w:b/>
                <w:sz w:val="20"/>
                <w:szCs w:val="20"/>
              </w:rPr>
              <w:t>Artículos</w:t>
            </w:r>
            <w:r w:rsidRPr="004172DA">
              <w:rPr>
                <w:rStyle w:val="Refdenotaalpie"/>
                <w:rFonts w:eastAsia="Times New Roman" w:cs="Times New Roman"/>
                <w:b/>
                <w:sz w:val="20"/>
                <w:szCs w:val="20"/>
              </w:rPr>
              <w:footnoteReference w:id="4"/>
            </w:r>
          </w:p>
        </w:tc>
        <w:tc>
          <w:tcPr>
            <w:tcW w:w="641" w:type="pct"/>
            <w:shd w:val="clear" w:color="auto" w:fill="FFC000"/>
            <w:vAlign w:val="center"/>
          </w:tcPr>
          <w:p w:rsidR="004172DA" w:rsidRPr="004172DA" w:rsidRDefault="004172DA" w:rsidP="00127979">
            <w:pPr>
              <w:spacing w:after="0" w:line="240" w:lineRule="auto"/>
              <w:jc w:val="center"/>
              <w:rPr>
                <w:rFonts w:eastAsia="Times New Roman" w:cs="Times New Roman"/>
                <w:b/>
                <w:sz w:val="20"/>
                <w:szCs w:val="20"/>
              </w:rPr>
            </w:pPr>
            <w:r>
              <w:rPr>
                <w:rFonts w:eastAsia="Times New Roman" w:cs="Times New Roman"/>
                <w:b/>
                <w:sz w:val="20"/>
                <w:szCs w:val="20"/>
              </w:rPr>
              <w:t>Minis</w:t>
            </w:r>
            <w:r w:rsidR="00EE38F7">
              <w:rPr>
                <w:rFonts w:eastAsia="Times New Roman" w:cs="Times New Roman"/>
                <w:b/>
                <w:sz w:val="20"/>
                <w:szCs w:val="20"/>
              </w:rPr>
              <w:t>t</w:t>
            </w:r>
            <w:r>
              <w:rPr>
                <w:rFonts w:eastAsia="Times New Roman" w:cs="Times New Roman"/>
                <w:b/>
                <w:sz w:val="20"/>
                <w:szCs w:val="20"/>
              </w:rPr>
              <w:t>erio</w:t>
            </w:r>
          </w:p>
        </w:tc>
        <w:tc>
          <w:tcPr>
            <w:tcW w:w="1859" w:type="pct"/>
            <w:shd w:val="clear" w:color="auto" w:fill="FFC000"/>
            <w:vAlign w:val="center"/>
            <w:hideMark/>
          </w:tcPr>
          <w:p w:rsidR="004172DA" w:rsidRPr="004172DA" w:rsidRDefault="004172DA" w:rsidP="00127979">
            <w:pPr>
              <w:spacing w:after="0" w:line="240" w:lineRule="auto"/>
              <w:jc w:val="center"/>
              <w:rPr>
                <w:rFonts w:eastAsia="Times New Roman" w:cs="Times New Roman"/>
                <w:b/>
                <w:sz w:val="20"/>
                <w:szCs w:val="20"/>
              </w:rPr>
            </w:pPr>
            <w:r w:rsidRPr="004172DA">
              <w:rPr>
                <w:rFonts w:eastAsia="Times New Roman" w:cs="Times New Roman"/>
                <w:b/>
                <w:sz w:val="20"/>
                <w:szCs w:val="20"/>
              </w:rPr>
              <w:t>Observaciones</w:t>
            </w:r>
          </w:p>
        </w:tc>
        <w:tc>
          <w:tcPr>
            <w:tcW w:w="1860" w:type="pct"/>
            <w:shd w:val="clear" w:color="auto" w:fill="FFC000"/>
            <w:vAlign w:val="center"/>
          </w:tcPr>
          <w:p w:rsidR="004172DA" w:rsidRPr="004172DA" w:rsidRDefault="004172DA" w:rsidP="00127979">
            <w:pPr>
              <w:spacing w:after="0" w:line="240" w:lineRule="auto"/>
              <w:jc w:val="center"/>
              <w:rPr>
                <w:rFonts w:eastAsia="Times New Roman" w:cs="Times New Roman"/>
                <w:b/>
                <w:sz w:val="20"/>
                <w:szCs w:val="20"/>
              </w:rPr>
            </w:pPr>
            <w:r w:rsidRPr="004172DA">
              <w:rPr>
                <w:rFonts w:eastAsia="Times New Roman" w:cs="Times New Roman"/>
                <w:b/>
                <w:sz w:val="20"/>
                <w:szCs w:val="20"/>
              </w:rPr>
              <w:t>Valoración</w:t>
            </w:r>
          </w:p>
        </w:tc>
      </w:tr>
      <w:tr w:rsidR="004172DA" w:rsidRPr="006E5A21" w:rsidTr="00127979">
        <w:trPr>
          <w:trHeight w:val="738"/>
        </w:trPr>
        <w:tc>
          <w:tcPr>
            <w:tcW w:w="641" w:type="pct"/>
            <w:shd w:val="clear" w:color="auto" w:fill="auto"/>
            <w:vAlign w:val="center"/>
          </w:tcPr>
          <w:p w:rsidR="004172DA" w:rsidRPr="006E5A21" w:rsidRDefault="004172DA" w:rsidP="00127979">
            <w:pPr>
              <w:spacing w:beforeLines="60" w:before="144" w:afterLines="60" w:after="144"/>
              <w:jc w:val="center"/>
              <w:rPr>
                <w:rFonts w:eastAsia="Times New Roman" w:cs="Times New Roman"/>
                <w:b/>
                <w:bCs/>
                <w:sz w:val="20"/>
                <w:szCs w:val="20"/>
              </w:rPr>
            </w:pPr>
            <w:r w:rsidRPr="006E5A21">
              <w:rPr>
                <w:rFonts w:eastAsia="Times New Roman" w:cs="Times New Roman"/>
                <w:b/>
                <w:bCs/>
                <w:sz w:val="20"/>
                <w:szCs w:val="20"/>
              </w:rPr>
              <w:t>General</w:t>
            </w:r>
          </w:p>
        </w:tc>
        <w:tc>
          <w:tcPr>
            <w:tcW w:w="641" w:type="pct"/>
            <w:shd w:val="clear" w:color="auto" w:fill="auto"/>
            <w:vAlign w:val="center"/>
          </w:tcPr>
          <w:p w:rsidR="004172DA" w:rsidRPr="006E5A21" w:rsidRDefault="004249C5" w:rsidP="002A51F9">
            <w:pPr>
              <w:spacing w:beforeLines="60" w:before="144" w:afterLines="60" w:after="144"/>
              <w:jc w:val="center"/>
              <w:rPr>
                <w:rFonts w:eastAsia="Times New Roman" w:cs="Times New Roman"/>
                <w:b/>
                <w:color w:val="000000"/>
                <w:sz w:val="20"/>
                <w:szCs w:val="20"/>
              </w:rPr>
            </w:pPr>
            <w:r>
              <w:rPr>
                <w:rFonts w:eastAsia="Times New Roman" w:cs="Times New Roman"/>
                <w:b/>
                <w:bCs/>
                <w:sz w:val="20"/>
                <w:szCs w:val="20"/>
              </w:rPr>
              <w:t>OEPM</w:t>
            </w:r>
          </w:p>
        </w:tc>
        <w:tc>
          <w:tcPr>
            <w:tcW w:w="1859" w:type="pct"/>
            <w:shd w:val="clear" w:color="auto" w:fill="auto"/>
            <w:vAlign w:val="center"/>
          </w:tcPr>
          <w:p w:rsidR="004172DA" w:rsidRDefault="004172DA" w:rsidP="004172DA">
            <w:pPr>
              <w:spacing w:beforeLines="60" w:before="144" w:afterLines="60" w:after="144" w:line="240" w:lineRule="auto"/>
              <w:jc w:val="both"/>
              <w:rPr>
                <w:rFonts w:eastAsia="Calibri" w:cs="Arial"/>
                <w:bCs/>
                <w:sz w:val="20"/>
                <w:szCs w:val="20"/>
                <w:lang w:val="es-ES_tradnl"/>
              </w:rPr>
            </w:pPr>
            <w:r w:rsidRPr="004172DA">
              <w:rPr>
                <w:rFonts w:eastAsia="Calibri" w:cs="Arial"/>
                <w:bCs/>
                <w:sz w:val="20"/>
                <w:szCs w:val="20"/>
                <w:lang w:val="es-ES_tradnl"/>
              </w:rPr>
              <w:t>Para un correcto encuadre de la materia relat</w:t>
            </w:r>
            <w:r>
              <w:rPr>
                <w:rFonts w:eastAsia="Calibri" w:cs="Arial"/>
                <w:bCs/>
                <w:sz w:val="20"/>
                <w:szCs w:val="20"/>
                <w:lang w:val="es-ES_tradnl"/>
              </w:rPr>
              <w:t xml:space="preserve">iva al secreto empresarial como </w:t>
            </w:r>
            <w:r w:rsidRPr="004172DA">
              <w:rPr>
                <w:rFonts w:eastAsia="Calibri" w:cs="Arial"/>
                <w:bCs/>
                <w:sz w:val="20"/>
                <w:szCs w:val="20"/>
                <w:lang w:val="es-ES_tradnl"/>
              </w:rPr>
              <w:t>objeto del derecho de propiedad, desde la OEPM s</w:t>
            </w:r>
            <w:r>
              <w:rPr>
                <w:rFonts w:eastAsia="Calibri" w:cs="Arial"/>
                <w:bCs/>
                <w:sz w:val="20"/>
                <w:szCs w:val="20"/>
                <w:lang w:val="es-ES_tradnl"/>
              </w:rPr>
              <w:t xml:space="preserve">e propone la introducción de un </w:t>
            </w:r>
            <w:r w:rsidRPr="004172DA">
              <w:rPr>
                <w:rFonts w:eastAsia="Calibri" w:cs="Arial"/>
                <w:bCs/>
                <w:sz w:val="20"/>
                <w:szCs w:val="20"/>
                <w:lang w:val="es-ES_tradnl"/>
              </w:rPr>
              <w:t>nuevo primer artículo, bajo el título “Principios Generales</w:t>
            </w:r>
            <w:r w:rsidR="00EA43E4">
              <w:rPr>
                <w:rFonts w:eastAsia="Calibri" w:cs="Arial"/>
                <w:bCs/>
                <w:sz w:val="20"/>
                <w:szCs w:val="20"/>
                <w:lang w:val="es-ES_tradnl"/>
              </w:rPr>
              <w:t>.</w:t>
            </w:r>
          </w:p>
          <w:p w:rsidR="00EA43E4" w:rsidRPr="006E5A21" w:rsidRDefault="00EA43E4" w:rsidP="00EA43E4">
            <w:pPr>
              <w:spacing w:beforeLines="60" w:before="144" w:afterLines="60" w:after="144" w:line="240" w:lineRule="auto"/>
              <w:jc w:val="both"/>
              <w:rPr>
                <w:rFonts w:eastAsia="Calibri" w:cs="Arial"/>
                <w:bCs/>
                <w:sz w:val="20"/>
                <w:szCs w:val="20"/>
                <w:lang w:val="es-ES_tradnl"/>
              </w:rPr>
            </w:pPr>
            <w:r w:rsidRPr="00EA43E4">
              <w:rPr>
                <w:rFonts w:eastAsia="Calibri" w:cs="Arial"/>
                <w:bCs/>
                <w:sz w:val="20"/>
                <w:szCs w:val="20"/>
                <w:lang w:val="es-ES_tradnl"/>
              </w:rPr>
              <w:t>Se propone la supresión del nuevo artículo 5 rel</w:t>
            </w:r>
            <w:r>
              <w:rPr>
                <w:rFonts w:eastAsia="Calibri" w:cs="Arial"/>
                <w:bCs/>
                <w:sz w:val="20"/>
                <w:szCs w:val="20"/>
                <w:lang w:val="es-ES_tradnl"/>
              </w:rPr>
              <w:t xml:space="preserve">ativo a la Transmisibilidad del </w:t>
            </w:r>
            <w:r w:rsidRPr="00EA43E4">
              <w:rPr>
                <w:rFonts w:eastAsia="Calibri" w:cs="Arial"/>
                <w:bCs/>
                <w:sz w:val="20"/>
                <w:szCs w:val="20"/>
                <w:lang w:val="es-ES_tradnl"/>
              </w:rPr>
              <w:t>secreto empresarial al haber incluido su contenid</w:t>
            </w:r>
            <w:r>
              <w:rPr>
                <w:rFonts w:eastAsia="Calibri" w:cs="Arial"/>
                <w:bCs/>
                <w:sz w:val="20"/>
                <w:szCs w:val="20"/>
                <w:lang w:val="es-ES_tradnl"/>
              </w:rPr>
              <w:t xml:space="preserve">o en el nuevo precepto sugerido </w:t>
            </w:r>
            <w:r w:rsidRPr="00EA43E4">
              <w:rPr>
                <w:rFonts w:eastAsia="Calibri" w:cs="Arial"/>
                <w:bCs/>
                <w:sz w:val="20"/>
                <w:szCs w:val="20"/>
                <w:lang w:val="es-ES_tradnl"/>
              </w:rPr>
              <w:t>por la OEPM bajo el título “Principios Generales</w:t>
            </w:r>
            <w:r>
              <w:rPr>
                <w:rFonts w:eastAsia="Calibri" w:cs="Arial"/>
                <w:bCs/>
                <w:sz w:val="20"/>
                <w:szCs w:val="20"/>
                <w:lang w:val="es-ES_tradnl"/>
              </w:rPr>
              <w:t>”.</w:t>
            </w:r>
          </w:p>
        </w:tc>
        <w:tc>
          <w:tcPr>
            <w:tcW w:w="1860" w:type="pct"/>
            <w:shd w:val="clear" w:color="auto" w:fill="auto"/>
            <w:vAlign w:val="center"/>
          </w:tcPr>
          <w:p w:rsidR="002A51F9" w:rsidRPr="006E5A21" w:rsidRDefault="002A51F9" w:rsidP="002A51F9">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La propuesta de la OEPM está dirigida a incorporar un precepto similar al art. 82 de la Ley de Patentes. Las previsiones que en él se contienen no pueden extenderse de forma global a los secretos empresariales, que abarcan conocimientos e información de muy diversa índole (desde invenciones no patentables a planes comerciales o de estrategia de negocio). De ahí que no proceda la extensión en bloque de este precepto, sin perjuicio de que en el futuro, una vez esté más asentada la nueva regulación, pueda evaluarse abordar cuestiones como la indivisibilidad del secreto empresarial o la condición de objeto de negocios jurídicos de garantía como la prenda, lo que es muy difícil de prever con carácter general ante la muy distinta naturaleza que puede tener el conocimiento o la información protegida como secreto.</w:t>
            </w:r>
          </w:p>
        </w:tc>
      </w:tr>
      <w:tr w:rsidR="00127979" w:rsidRPr="006E5A21" w:rsidTr="00127979">
        <w:trPr>
          <w:trHeight w:val="738"/>
        </w:trPr>
        <w:tc>
          <w:tcPr>
            <w:tcW w:w="641" w:type="pct"/>
            <w:shd w:val="clear" w:color="auto" w:fill="auto"/>
            <w:vAlign w:val="center"/>
          </w:tcPr>
          <w:p w:rsidR="00127979" w:rsidRPr="006E5A21" w:rsidRDefault="00EA43E4" w:rsidP="00127979">
            <w:pPr>
              <w:spacing w:beforeLines="60" w:before="144" w:afterLines="60" w:after="144"/>
              <w:jc w:val="center"/>
              <w:rPr>
                <w:rFonts w:eastAsia="Times New Roman" w:cs="Times New Roman"/>
                <w:b/>
                <w:bCs/>
                <w:sz w:val="20"/>
                <w:szCs w:val="20"/>
              </w:rPr>
            </w:pPr>
            <w:r>
              <w:rPr>
                <w:rFonts w:eastAsia="Times New Roman" w:cs="Times New Roman"/>
                <w:b/>
                <w:bCs/>
                <w:sz w:val="20"/>
                <w:szCs w:val="20"/>
              </w:rPr>
              <w:t>Al nuevo artículo 4</w:t>
            </w:r>
          </w:p>
        </w:tc>
        <w:tc>
          <w:tcPr>
            <w:tcW w:w="641" w:type="pct"/>
            <w:shd w:val="clear" w:color="auto" w:fill="auto"/>
            <w:vAlign w:val="center"/>
          </w:tcPr>
          <w:p w:rsidR="00127979" w:rsidRDefault="002A51F9" w:rsidP="002A51F9">
            <w:pPr>
              <w:spacing w:beforeLines="60" w:before="144" w:afterLines="60" w:after="144"/>
              <w:jc w:val="center"/>
              <w:rPr>
                <w:rFonts w:eastAsia="Times New Roman" w:cs="Times New Roman"/>
                <w:b/>
                <w:bCs/>
                <w:sz w:val="20"/>
                <w:szCs w:val="20"/>
              </w:rPr>
            </w:pPr>
            <w:r>
              <w:rPr>
                <w:rFonts w:eastAsia="Times New Roman" w:cs="Times New Roman"/>
                <w:b/>
                <w:bCs/>
                <w:sz w:val="20"/>
                <w:szCs w:val="20"/>
              </w:rPr>
              <w:t>OEPM</w:t>
            </w:r>
          </w:p>
        </w:tc>
        <w:tc>
          <w:tcPr>
            <w:tcW w:w="1859" w:type="pct"/>
            <w:shd w:val="clear" w:color="auto" w:fill="auto"/>
            <w:vAlign w:val="center"/>
          </w:tcPr>
          <w:p w:rsidR="00EA43E4" w:rsidRPr="00EA43E4" w:rsidRDefault="00EA43E4" w:rsidP="00EA43E4">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S</w:t>
            </w:r>
            <w:r w:rsidRPr="00EA43E4">
              <w:rPr>
                <w:rFonts w:eastAsia="Calibri" w:cs="Arial"/>
                <w:bCs/>
                <w:sz w:val="20"/>
                <w:szCs w:val="20"/>
                <w:lang w:val="es-ES_tradnl"/>
              </w:rPr>
              <w:t>e p</w:t>
            </w:r>
            <w:r>
              <w:rPr>
                <w:rFonts w:eastAsia="Calibri" w:cs="Arial"/>
                <w:bCs/>
                <w:sz w:val="20"/>
                <w:szCs w:val="20"/>
                <w:lang w:val="es-ES_tradnl"/>
              </w:rPr>
              <w:t xml:space="preserve">ropone la inclusión de un nuevo </w:t>
            </w:r>
            <w:r w:rsidRPr="00EA43E4">
              <w:rPr>
                <w:rFonts w:eastAsia="Calibri" w:cs="Arial"/>
                <w:bCs/>
                <w:sz w:val="20"/>
                <w:szCs w:val="20"/>
                <w:lang w:val="es-ES_tradnl"/>
              </w:rPr>
              <w:t>apartado 2 d), de forma paralela a la regulación en materia de</w:t>
            </w:r>
            <w:r>
              <w:rPr>
                <w:rFonts w:eastAsia="Calibri" w:cs="Arial"/>
                <w:bCs/>
                <w:sz w:val="20"/>
                <w:szCs w:val="20"/>
                <w:lang w:val="es-ES_tradnl"/>
              </w:rPr>
              <w:t xml:space="preserve"> patentes en la Ley </w:t>
            </w:r>
            <w:r w:rsidRPr="00EA43E4">
              <w:rPr>
                <w:rFonts w:eastAsia="Calibri" w:cs="Arial"/>
                <w:bCs/>
                <w:sz w:val="20"/>
                <w:szCs w:val="20"/>
                <w:lang w:val="es-ES_tradnl"/>
              </w:rPr>
              <w:t>de Patentes, para prever la e</w:t>
            </w:r>
            <w:r>
              <w:rPr>
                <w:rFonts w:eastAsia="Calibri" w:cs="Arial"/>
                <w:bCs/>
                <w:sz w:val="20"/>
                <w:szCs w:val="20"/>
                <w:lang w:val="es-ES_tradnl"/>
              </w:rPr>
              <w:t xml:space="preserve">najenación de la parte alícuota </w:t>
            </w:r>
            <w:r w:rsidRPr="00EA43E4">
              <w:rPr>
                <w:rFonts w:eastAsia="Calibri" w:cs="Arial"/>
                <w:bCs/>
                <w:sz w:val="20"/>
                <w:szCs w:val="20"/>
                <w:lang w:val="es-ES_tradnl"/>
              </w:rPr>
              <w:t>del secreto empresarial con el consiguiente derecho de tanteo y retracto para el</w:t>
            </w:r>
            <w:r>
              <w:rPr>
                <w:rFonts w:eastAsia="Calibri" w:cs="Arial"/>
                <w:bCs/>
                <w:sz w:val="20"/>
                <w:szCs w:val="20"/>
                <w:lang w:val="es-ES_tradnl"/>
              </w:rPr>
              <w:t xml:space="preserve"> </w:t>
            </w:r>
            <w:r w:rsidRPr="00EA43E4">
              <w:rPr>
                <w:rFonts w:eastAsia="Calibri" w:cs="Arial"/>
                <w:bCs/>
                <w:sz w:val="20"/>
                <w:szCs w:val="20"/>
                <w:lang w:val="es-ES_tradnl"/>
              </w:rPr>
              <w:t>resto de cotitulares.</w:t>
            </w:r>
          </w:p>
          <w:p w:rsidR="00127979" w:rsidRPr="004172DA" w:rsidRDefault="00EA43E4" w:rsidP="00EA43E4">
            <w:pPr>
              <w:spacing w:beforeLines="60" w:before="144" w:afterLines="60" w:after="144" w:line="240" w:lineRule="auto"/>
              <w:jc w:val="both"/>
              <w:rPr>
                <w:rFonts w:eastAsia="Calibri" w:cs="Arial"/>
                <w:bCs/>
                <w:sz w:val="20"/>
                <w:szCs w:val="20"/>
                <w:lang w:val="es-ES_tradnl"/>
              </w:rPr>
            </w:pPr>
            <w:r w:rsidRPr="00EA43E4">
              <w:rPr>
                <w:rFonts w:eastAsia="Calibri" w:cs="Arial"/>
                <w:bCs/>
                <w:sz w:val="20"/>
                <w:szCs w:val="20"/>
                <w:lang w:val="es-ES_tradnl"/>
              </w:rPr>
              <w:lastRenderedPageBreak/>
              <w:t xml:space="preserve">Por otra parte, en el apartado 3, en aplicación </w:t>
            </w:r>
            <w:r>
              <w:rPr>
                <w:rFonts w:eastAsia="Calibri" w:cs="Arial"/>
                <w:bCs/>
                <w:sz w:val="20"/>
                <w:szCs w:val="20"/>
                <w:lang w:val="es-ES_tradnl"/>
              </w:rPr>
              <w:t xml:space="preserve">de lo regulado en patentes, se </w:t>
            </w:r>
            <w:r w:rsidRPr="00EA43E4">
              <w:rPr>
                <w:rFonts w:eastAsia="Calibri" w:cs="Arial"/>
                <w:bCs/>
                <w:sz w:val="20"/>
                <w:szCs w:val="20"/>
                <w:lang w:val="es-ES_tradnl"/>
              </w:rPr>
              <w:t>estima conveniente ceñir el acuerdo de todos los pa</w:t>
            </w:r>
            <w:r>
              <w:rPr>
                <w:rFonts w:eastAsia="Calibri" w:cs="Arial"/>
                <w:bCs/>
                <w:sz w:val="20"/>
                <w:szCs w:val="20"/>
                <w:lang w:val="es-ES_tradnl"/>
              </w:rPr>
              <w:t xml:space="preserve">rtícipes sólo para la concesión </w:t>
            </w:r>
            <w:r w:rsidRPr="00EA43E4">
              <w:rPr>
                <w:rFonts w:eastAsia="Calibri" w:cs="Arial"/>
                <w:bCs/>
                <w:sz w:val="20"/>
                <w:szCs w:val="20"/>
                <w:lang w:val="es-ES_tradnl"/>
              </w:rPr>
              <w:t>de una licencia y no para la cesión, lo que podría se</w:t>
            </w:r>
            <w:r>
              <w:rPr>
                <w:rFonts w:eastAsia="Calibri" w:cs="Arial"/>
                <w:bCs/>
                <w:sz w:val="20"/>
                <w:szCs w:val="20"/>
                <w:lang w:val="es-ES_tradnl"/>
              </w:rPr>
              <w:t xml:space="preserve">r factible con un acuerdo de la </w:t>
            </w:r>
            <w:r w:rsidRPr="00EA43E4">
              <w:rPr>
                <w:rFonts w:eastAsia="Calibri" w:cs="Arial"/>
                <w:bCs/>
                <w:sz w:val="20"/>
                <w:szCs w:val="20"/>
                <w:lang w:val="es-ES_tradnl"/>
              </w:rPr>
              <w:t>mayoría de las partes o lo que hayan pactado previamente</w:t>
            </w:r>
          </w:p>
        </w:tc>
        <w:tc>
          <w:tcPr>
            <w:tcW w:w="1860" w:type="pct"/>
            <w:shd w:val="clear" w:color="auto" w:fill="auto"/>
            <w:vAlign w:val="center"/>
          </w:tcPr>
          <w:p w:rsidR="00127979" w:rsidRPr="006E5A21" w:rsidRDefault="002A51F9" w:rsidP="00127979">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lastRenderedPageBreak/>
              <w:t xml:space="preserve">Se considera que el apartamiento en este punto de la legislación de patentes está justificado por la distinta naturaleza del secreto empresarial. Ello se explica </w:t>
            </w:r>
            <w:r w:rsidR="005172DB">
              <w:rPr>
                <w:rFonts w:eastAsia="Calibri" w:cs="Arial"/>
                <w:bCs/>
                <w:sz w:val="20"/>
                <w:szCs w:val="20"/>
                <w:lang w:val="es-ES_tradnl"/>
              </w:rPr>
              <w:t>en el apartado de esta MAIN dedicado al análisis jurídico del anteproyecto.</w:t>
            </w:r>
          </w:p>
        </w:tc>
      </w:tr>
      <w:tr w:rsidR="00AB77E7" w:rsidRPr="006E5A21" w:rsidTr="00127979">
        <w:trPr>
          <w:trHeight w:val="738"/>
        </w:trPr>
        <w:tc>
          <w:tcPr>
            <w:tcW w:w="641" w:type="pct"/>
            <w:shd w:val="clear" w:color="auto" w:fill="auto"/>
            <w:vAlign w:val="center"/>
          </w:tcPr>
          <w:p w:rsidR="00AB77E7" w:rsidRDefault="00AB77E7" w:rsidP="00127979">
            <w:pPr>
              <w:spacing w:beforeLines="60" w:before="144" w:afterLines="60" w:after="144"/>
              <w:jc w:val="center"/>
              <w:rPr>
                <w:rFonts w:eastAsia="Times New Roman" w:cs="Times New Roman"/>
                <w:b/>
                <w:bCs/>
                <w:sz w:val="20"/>
                <w:szCs w:val="20"/>
              </w:rPr>
            </w:pPr>
            <w:r>
              <w:rPr>
                <w:rFonts w:eastAsia="Times New Roman" w:cs="Times New Roman"/>
                <w:b/>
                <w:bCs/>
                <w:sz w:val="20"/>
                <w:szCs w:val="20"/>
              </w:rPr>
              <w:lastRenderedPageBreak/>
              <w:t>Al nuevo artículo 6</w:t>
            </w:r>
          </w:p>
        </w:tc>
        <w:tc>
          <w:tcPr>
            <w:tcW w:w="641" w:type="pct"/>
            <w:shd w:val="clear" w:color="auto" w:fill="auto"/>
            <w:vAlign w:val="center"/>
          </w:tcPr>
          <w:p w:rsidR="00AB77E7" w:rsidRDefault="002A51F9" w:rsidP="002A51F9">
            <w:pPr>
              <w:spacing w:beforeLines="60" w:before="144" w:afterLines="60" w:after="144"/>
              <w:jc w:val="center"/>
              <w:rPr>
                <w:rFonts w:eastAsia="Times New Roman" w:cs="Times New Roman"/>
                <w:b/>
                <w:bCs/>
                <w:sz w:val="20"/>
                <w:szCs w:val="20"/>
              </w:rPr>
            </w:pPr>
            <w:r>
              <w:rPr>
                <w:rFonts w:eastAsia="Times New Roman" w:cs="Times New Roman"/>
                <w:b/>
                <w:bCs/>
                <w:sz w:val="20"/>
                <w:szCs w:val="20"/>
              </w:rPr>
              <w:t>OEPM</w:t>
            </w:r>
          </w:p>
        </w:tc>
        <w:tc>
          <w:tcPr>
            <w:tcW w:w="1859" w:type="pct"/>
            <w:shd w:val="clear" w:color="auto" w:fill="auto"/>
            <w:vAlign w:val="center"/>
          </w:tcPr>
          <w:p w:rsidR="00AB77E7" w:rsidRPr="00AB77E7" w:rsidRDefault="00AB77E7" w:rsidP="00AB77E7">
            <w:pPr>
              <w:spacing w:beforeLines="60" w:before="144" w:afterLines="60" w:after="144" w:line="240" w:lineRule="auto"/>
              <w:jc w:val="both"/>
              <w:rPr>
                <w:rFonts w:eastAsia="Calibri" w:cs="Arial"/>
                <w:bCs/>
                <w:sz w:val="20"/>
                <w:szCs w:val="20"/>
                <w:lang w:val="es-ES_tradnl"/>
              </w:rPr>
            </w:pPr>
            <w:r w:rsidRPr="00AB77E7">
              <w:rPr>
                <w:rFonts w:eastAsia="Calibri" w:cs="Arial"/>
                <w:bCs/>
                <w:sz w:val="20"/>
                <w:szCs w:val="20"/>
                <w:lang w:val="es-ES_tradnl"/>
              </w:rPr>
              <w:t>Respecto del artículo 6 relativo a las licenci</w:t>
            </w:r>
            <w:r>
              <w:rPr>
                <w:rFonts w:eastAsia="Calibri" w:cs="Arial"/>
                <w:bCs/>
                <w:sz w:val="20"/>
                <w:szCs w:val="20"/>
                <w:lang w:val="es-ES_tradnl"/>
              </w:rPr>
              <w:t xml:space="preserve">as de secretos empresariales se </w:t>
            </w:r>
            <w:r w:rsidRPr="00AB77E7">
              <w:rPr>
                <w:rFonts w:eastAsia="Calibri" w:cs="Arial"/>
                <w:bCs/>
                <w:sz w:val="20"/>
                <w:szCs w:val="20"/>
                <w:lang w:val="es-ES_tradnl"/>
              </w:rPr>
              <w:t>proponen tres modificaciones. Primero, reorganizar</w:t>
            </w:r>
            <w:r>
              <w:rPr>
                <w:rFonts w:eastAsia="Calibri" w:cs="Arial"/>
                <w:bCs/>
                <w:sz w:val="20"/>
                <w:szCs w:val="20"/>
                <w:lang w:val="es-ES_tradnl"/>
              </w:rPr>
              <w:t xml:space="preserve"> los apartados para una fácil y </w:t>
            </w:r>
            <w:r w:rsidRPr="00AB77E7">
              <w:rPr>
                <w:rFonts w:eastAsia="Calibri" w:cs="Arial"/>
                <w:bCs/>
                <w:sz w:val="20"/>
                <w:szCs w:val="20"/>
                <w:lang w:val="es-ES_tradnl"/>
              </w:rPr>
              <w:t>ordenada lectura. Segundo, suprimir en el ap</w:t>
            </w:r>
            <w:r>
              <w:rPr>
                <w:rFonts w:eastAsia="Calibri" w:cs="Arial"/>
                <w:bCs/>
                <w:sz w:val="20"/>
                <w:szCs w:val="20"/>
                <w:lang w:val="es-ES_tradnl"/>
              </w:rPr>
              <w:t xml:space="preserve">artado 1 el alcance “objetivo y </w:t>
            </w:r>
            <w:r w:rsidRPr="00AB77E7">
              <w:rPr>
                <w:rFonts w:eastAsia="Calibri" w:cs="Arial"/>
                <w:bCs/>
                <w:sz w:val="20"/>
                <w:szCs w:val="20"/>
                <w:lang w:val="es-ES_tradnl"/>
              </w:rPr>
              <w:t>material” de la licencia por considerarse implícito e</w:t>
            </w:r>
            <w:r>
              <w:rPr>
                <w:rFonts w:eastAsia="Calibri" w:cs="Arial"/>
                <w:bCs/>
                <w:sz w:val="20"/>
                <w:szCs w:val="20"/>
                <w:lang w:val="es-ES_tradnl"/>
              </w:rPr>
              <w:t xml:space="preserve">n la concreción del objeto del </w:t>
            </w:r>
            <w:r w:rsidRPr="00AB77E7">
              <w:rPr>
                <w:rFonts w:eastAsia="Calibri" w:cs="Arial"/>
                <w:bCs/>
                <w:sz w:val="20"/>
                <w:szCs w:val="20"/>
                <w:lang w:val="es-ES_tradnl"/>
              </w:rPr>
              <w:t>contrato. De no eliminarse estos términos,</w:t>
            </w:r>
            <w:r>
              <w:rPr>
                <w:rFonts w:eastAsia="Calibri" w:cs="Arial"/>
                <w:bCs/>
                <w:sz w:val="20"/>
                <w:szCs w:val="20"/>
                <w:lang w:val="es-ES_tradnl"/>
              </w:rPr>
              <w:t xml:space="preserve"> podría ser necesaria una breve </w:t>
            </w:r>
            <w:r w:rsidRPr="00AB77E7">
              <w:rPr>
                <w:rFonts w:eastAsia="Calibri" w:cs="Arial"/>
                <w:bCs/>
                <w:sz w:val="20"/>
                <w:szCs w:val="20"/>
                <w:lang w:val="es-ES_tradnl"/>
              </w:rPr>
              <w:t>explicación en la exposición de motivos para su mejor aplicación e interpretación.</w:t>
            </w:r>
          </w:p>
          <w:p w:rsidR="00AB77E7" w:rsidRDefault="00AB77E7" w:rsidP="00AB77E7">
            <w:pPr>
              <w:spacing w:beforeLines="60" w:before="144" w:afterLines="60" w:after="144" w:line="240" w:lineRule="auto"/>
              <w:jc w:val="both"/>
              <w:rPr>
                <w:rFonts w:eastAsia="Calibri" w:cs="Arial"/>
                <w:bCs/>
                <w:sz w:val="20"/>
                <w:szCs w:val="20"/>
                <w:lang w:val="es-ES_tradnl"/>
              </w:rPr>
            </w:pPr>
            <w:r w:rsidRPr="00AB77E7">
              <w:rPr>
                <w:rFonts w:eastAsia="Calibri" w:cs="Arial"/>
                <w:bCs/>
                <w:sz w:val="20"/>
                <w:szCs w:val="20"/>
                <w:lang w:val="es-ES_tradnl"/>
              </w:rPr>
              <w:t>Tercero, añadir dos nuevos apartados, para prever, de un lado, la obligación del</w:t>
            </w:r>
            <w:r>
              <w:rPr>
                <w:rFonts w:eastAsia="Calibri" w:cs="Arial"/>
                <w:bCs/>
                <w:sz w:val="20"/>
                <w:szCs w:val="20"/>
                <w:lang w:val="es-ES_tradnl"/>
              </w:rPr>
              <w:t xml:space="preserve"> </w:t>
            </w:r>
            <w:r w:rsidRPr="00AB77E7">
              <w:rPr>
                <w:rFonts w:eastAsia="Calibri" w:cs="Arial"/>
                <w:bCs/>
                <w:sz w:val="20"/>
                <w:szCs w:val="20"/>
                <w:lang w:val="es-ES_tradnl"/>
              </w:rPr>
              <w:t xml:space="preserve">licenciatario o </w:t>
            </w:r>
            <w:proofErr w:type="spellStart"/>
            <w:r w:rsidRPr="00AB77E7">
              <w:rPr>
                <w:rFonts w:eastAsia="Calibri" w:cs="Arial"/>
                <w:bCs/>
                <w:sz w:val="20"/>
                <w:szCs w:val="20"/>
                <w:lang w:val="es-ES_tradnl"/>
              </w:rPr>
              <w:t>sublicenciatario</w:t>
            </w:r>
            <w:proofErr w:type="spellEnd"/>
            <w:r w:rsidRPr="00AB77E7">
              <w:rPr>
                <w:rFonts w:eastAsia="Calibri" w:cs="Arial"/>
                <w:bCs/>
                <w:sz w:val="20"/>
                <w:szCs w:val="20"/>
                <w:lang w:val="es-ES_tradnl"/>
              </w:rPr>
              <w:t xml:space="preserve"> de evitar la divulgación </w:t>
            </w:r>
            <w:r>
              <w:rPr>
                <w:rFonts w:eastAsia="Calibri" w:cs="Arial"/>
                <w:bCs/>
                <w:sz w:val="20"/>
                <w:szCs w:val="20"/>
                <w:lang w:val="es-ES_tradnl"/>
              </w:rPr>
              <w:t xml:space="preserve">del secreto y, de otro lado, la </w:t>
            </w:r>
            <w:r w:rsidRPr="00AB77E7">
              <w:rPr>
                <w:rFonts w:eastAsia="Calibri" w:cs="Arial"/>
                <w:bCs/>
                <w:sz w:val="20"/>
                <w:szCs w:val="20"/>
                <w:lang w:val="es-ES_tradnl"/>
              </w:rPr>
              <w:t>posibilidad de ejercitar acciones frente a un lic</w:t>
            </w:r>
            <w:r>
              <w:rPr>
                <w:rFonts w:eastAsia="Calibri" w:cs="Arial"/>
                <w:bCs/>
                <w:sz w:val="20"/>
                <w:szCs w:val="20"/>
                <w:lang w:val="es-ES_tradnl"/>
              </w:rPr>
              <w:t xml:space="preserve">enciatario que se excede de los </w:t>
            </w:r>
            <w:r w:rsidRPr="00AB77E7">
              <w:rPr>
                <w:rFonts w:eastAsia="Calibri" w:cs="Arial"/>
                <w:bCs/>
                <w:sz w:val="20"/>
                <w:szCs w:val="20"/>
                <w:lang w:val="es-ES_tradnl"/>
              </w:rPr>
              <w:t>límites de su licencia</w:t>
            </w:r>
            <w:r>
              <w:rPr>
                <w:rFonts w:eastAsia="Calibri" w:cs="Arial"/>
                <w:bCs/>
                <w:sz w:val="20"/>
                <w:szCs w:val="20"/>
                <w:lang w:val="es-ES_tradnl"/>
              </w:rPr>
              <w:t>.</w:t>
            </w:r>
          </w:p>
        </w:tc>
        <w:tc>
          <w:tcPr>
            <w:tcW w:w="1860" w:type="pct"/>
            <w:shd w:val="clear" w:color="auto" w:fill="auto"/>
            <w:vAlign w:val="center"/>
          </w:tcPr>
          <w:p w:rsidR="00AB77E7" w:rsidRDefault="005172DB" w:rsidP="00127979">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 xml:space="preserve">SE ACEPTA parcialmente. Se reordena el precepto de acuerdo con las observaciones recibidas y se añade un apartado para introducir la obligación de licenciatario o </w:t>
            </w:r>
            <w:proofErr w:type="spellStart"/>
            <w:r>
              <w:rPr>
                <w:rFonts w:eastAsia="Calibri" w:cs="Arial"/>
                <w:bCs/>
                <w:sz w:val="20"/>
                <w:szCs w:val="20"/>
                <w:lang w:val="es-ES_tradnl"/>
              </w:rPr>
              <w:t>sublicenciatario</w:t>
            </w:r>
            <w:proofErr w:type="spellEnd"/>
            <w:r>
              <w:rPr>
                <w:rFonts w:eastAsia="Calibri" w:cs="Arial"/>
                <w:bCs/>
                <w:sz w:val="20"/>
                <w:szCs w:val="20"/>
                <w:lang w:val="es-ES_tradnl"/>
              </w:rPr>
              <w:t xml:space="preserve"> de evitar la violación del secreto empresarial.</w:t>
            </w:r>
          </w:p>
          <w:p w:rsidR="005172DB" w:rsidRPr="006E5A21" w:rsidRDefault="005172DB" w:rsidP="00127979">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En cambio, no se considera necesario señalar específicamente que el titular del secreto puede dirigirse frente al licenciatario que vulnera la licencia, puesto que ello ya resulta del art. 3.2 del anteproyecto.</w:t>
            </w:r>
          </w:p>
        </w:tc>
      </w:tr>
      <w:tr w:rsidR="00AB77E7" w:rsidRPr="006E5A21" w:rsidTr="00127979">
        <w:trPr>
          <w:trHeight w:val="738"/>
        </w:trPr>
        <w:tc>
          <w:tcPr>
            <w:tcW w:w="641" w:type="pct"/>
            <w:shd w:val="clear" w:color="auto" w:fill="auto"/>
            <w:vAlign w:val="center"/>
          </w:tcPr>
          <w:p w:rsidR="00AB77E7" w:rsidRDefault="00133EE4" w:rsidP="00127979">
            <w:pPr>
              <w:spacing w:beforeLines="60" w:before="144" w:afterLines="60" w:after="144"/>
              <w:jc w:val="center"/>
              <w:rPr>
                <w:rFonts w:eastAsia="Times New Roman" w:cs="Times New Roman"/>
                <w:b/>
                <w:bCs/>
                <w:sz w:val="20"/>
                <w:szCs w:val="20"/>
              </w:rPr>
            </w:pPr>
            <w:r>
              <w:rPr>
                <w:rFonts w:eastAsia="Times New Roman" w:cs="Times New Roman"/>
                <w:b/>
                <w:bCs/>
                <w:sz w:val="20"/>
                <w:szCs w:val="20"/>
              </w:rPr>
              <w:t>Al nuevo artículo 7</w:t>
            </w:r>
          </w:p>
        </w:tc>
        <w:tc>
          <w:tcPr>
            <w:tcW w:w="641" w:type="pct"/>
            <w:shd w:val="clear" w:color="auto" w:fill="auto"/>
            <w:vAlign w:val="center"/>
          </w:tcPr>
          <w:p w:rsidR="00AB77E7" w:rsidRDefault="002A51F9" w:rsidP="002A51F9">
            <w:pPr>
              <w:spacing w:beforeLines="60" w:before="144" w:afterLines="60" w:after="144"/>
              <w:jc w:val="center"/>
              <w:rPr>
                <w:rFonts w:eastAsia="Times New Roman" w:cs="Times New Roman"/>
                <w:b/>
                <w:bCs/>
                <w:sz w:val="20"/>
                <w:szCs w:val="20"/>
              </w:rPr>
            </w:pPr>
            <w:r>
              <w:rPr>
                <w:rFonts w:eastAsia="Times New Roman" w:cs="Times New Roman"/>
                <w:b/>
                <w:bCs/>
                <w:sz w:val="20"/>
                <w:szCs w:val="20"/>
              </w:rPr>
              <w:t>OEPM</w:t>
            </w:r>
          </w:p>
        </w:tc>
        <w:tc>
          <w:tcPr>
            <w:tcW w:w="1859" w:type="pct"/>
            <w:shd w:val="clear" w:color="auto" w:fill="auto"/>
            <w:vAlign w:val="center"/>
          </w:tcPr>
          <w:p w:rsidR="00AB77E7" w:rsidRPr="00AB77E7" w:rsidRDefault="00AB77E7" w:rsidP="00AB77E7">
            <w:pPr>
              <w:spacing w:beforeLines="60" w:before="144" w:afterLines="60" w:after="144" w:line="240" w:lineRule="auto"/>
              <w:jc w:val="both"/>
              <w:rPr>
                <w:rFonts w:eastAsia="Calibri" w:cs="Arial"/>
                <w:bCs/>
                <w:sz w:val="20"/>
                <w:szCs w:val="20"/>
                <w:lang w:val="es-ES_tradnl"/>
              </w:rPr>
            </w:pPr>
            <w:r w:rsidRPr="00AB77E7">
              <w:rPr>
                <w:rFonts w:eastAsia="Calibri" w:cs="Arial"/>
                <w:bCs/>
                <w:sz w:val="20"/>
                <w:szCs w:val="20"/>
                <w:lang w:val="es-ES_tradnl"/>
              </w:rPr>
              <w:t>En lo que se refiere al artículo 7, se sugiere la inclusión de un añadido al apartado</w:t>
            </w:r>
            <w:r w:rsidR="005172DB">
              <w:rPr>
                <w:rFonts w:eastAsia="Calibri" w:cs="Arial"/>
                <w:bCs/>
                <w:sz w:val="20"/>
                <w:szCs w:val="20"/>
                <w:lang w:val="es-ES_tradnl"/>
              </w:rPr>
              <w:t xml:space="preserve"> </w:t>
            </w:r>
            <w:r w:rsidRPr="00AB77E7">
              <w:rPr>
                <w:rFonts w:eastAsia="Calibri" w:cs="Arial"/>
                <w:bCs/>
                <w:sz w:val="20"/>
                <w:szCs w:val="20"/>
                <w:lang w:val="es-ES_tradnl"/>
              </w:rPr>
              <w:t>1, ante la posibilidad de que una divulgación total o p</w:t>
            </w:r>
            <w:r>
              <w:rPr>
                <w:rFonts w:eastAsia="Calibri" w:cs="Arial"/>
                <w:bCs/>
                <w:sz w:val="20"/>
                <w:szCs w:val="20"/>
                <w:lang w:val="es-ES_tradnl"/>
              </w:rPr>
              <w:t xml:space="preserve">arcial del secreto determine la </w:t>
            </w:r>
            <w:r w:rsidRPr="00AB77E7">
              <w:rPr>
                <w:rFonts w:eastAsia="Calibri" w:cs="Arial"/>
                <w:bCs/>
                <w:sz w:val="20"/>
                <w:szCs w:val="20"/>
                <w:lang w:val="es-ES_tradnl"/>
              </w:rPr>
              <w:t>nulidad del contrato de cesión o licencia y pueda dar lugar a responsabilidad.</w:t>
            </w:r>
          </w:p>
          <w:p w:rsidR="00AB77E7" w:rsidRPr="00AB77E7" w:rsidRDefault="00AB77E7" w:rsidP="00AB77E7">
            <w:pPr>
              <w:spacing w:beforeLines="60" w:before="144" w:afterLines="60" w:after="144" w:line="240" w:lineRule="auto"/>
              <w:jc w:val="both"/>
              <w:rPr>
                <w:rFonts w:eastAsia="Calibri" w:cs="Arial"/>
                <w:bCs/>
                <w:sz w:val="20"/>
                <w:szCs w:val="20"/>
                <w:lang w:val="es-ES_tradnl"/>
              </w:rPr>
            </w:pPr>
            <w:r w:rsidRPr="00AB77E7">
              <w:rPr>
                <w:rFonts w:eastAsia="Calibri" w:cs="Arial"/>
                <w:bCs/>
                <w:sz w:val="20"/>
                <w:szCs w:val="20"/>
                <w:lang w:val="es-ES_tradnl"/>
              </w:rPr>
              <w:t xml:space="preserve">Por otra parte, se sugiere la inclusión de un nuevo </w:t>
            </w:r>
            <w:r>
              <w:rPr>
                <w:rFonts w:eastAsia="Calibri" w:cs="Arial"/>
                <w:bCs/>
                <w:sz w:val="20"/>
                <w:szCs w:val="20"/>
                <w:lang w:val="es-ES_tradnl"/>
              </w:rPr>
              <w:t xml:space="preserve">apartado 2 con el objeto de dar </w:t>
            </w:r>
            <w:r w:rsidRPr="00AB77E7">
              <w:rPr>
                <w:rFonts w:eastAsia="Calibri" w:cs="Arial"/>
                <w:bCs/>
                <w:sz w:val="20"/>
                <w:szCs w:val="20"/>
                <w:lang w:val="es-ES_tradnl"/>
              </w:rPr>
              <w:t>un tratamiento diferenciado de la mala fe, añad</w:t>
            </w:r>
            <w:r>
              <w:rPr>
                <w:rFonts w:eastAsia="Calibri" w:cs="Arial"/>
                <w:bCs/>
                <w:sz w:val="20"/>
                <w:szCs w:val="20"/>
                <w:lang w:val="es-ES_tradnl"/>
              </w:rPr>
              <w:t xml:space="preserve">iendo un supuesto de presunción </w:t>
            </w:r>
            <w:r w:rsidRPr="00AB77E7">
              <w:rPr>
                <w:rFonts w:eastAsia="Calibri" w:cs="Arial"/>
                <w:bCs/>
                <w:sz w:val="20"/>
                <w:szCs w:val="20"/>
                <w:lang w:val="es-ES_tradnl"/>
              </w:rPr>
              <w:t>de la misma.</w:t>
            </w:r>
          </w:p>
          <w:p w:rsidR="00AB77E7" w:rsidRPr="00AB77E7" w:rsidRDefault="00AB77E7" w:rsidP="00AB77E7">
            <w:pPr>
              <w:spacing w:beforeLines="60" w:before="144" w:afterLines="60" w:after="144" w:line="240" w:lineRule="auto"/>
              <w:jc w:val="both"/>
              <w:rPr>
                <w:rFonts w:eastAsia="Calibri" w:cs="Arial"/>
                <w:bCs/>
                <w:sz w:val="20"/>
                <w:szCs w:val="20"/>
                <w:lang w:val="es-ES_tradnl"/>
              </w:rPr>
            </w:pPr>
            <w:r w:rsidRPr="00AB77E7">
              <w:rPr>
                <w:rFonts w:eastAsia="Calibri" w:cs="Arial"/>
                <w:bCs/>
                <w:sz w:val="20"/>
                <w:szCs w:val="20"/>
                <w:lang w:val="es-ES_tradnl"/>
              </w:rPr>
              <w:lastRenderedPageBreak/>
              <w:t>Asimismo, a imagen de la regulación de patentes se</w:t>
            </w:r>
            <w:r>
              <w:rPr>
                <w:rFonts w:eastAsia="Calibri" w:cs="Arial"/>
                <w:bCs/>
                <w:sz w:val="20"/>
                <w:szCs w:val="20"/>
                <w:lang w:val="es-ES_tradnl"/>
              </w:rPr>
              <w:t xml:space="preserve"> aprecia conveniente incluir un </w:t>
            </w:r>
            <w:r w:rsidRPr="00AB77E7">
              <w:rPr>
                <w:rFonts w:eastAsia="Calibri" w:cs="Arial"/>
                <w:bCs/>
                <w:sz w:val="20"/>
                <w:szCs w:val="20"/>
                <w:lang w:val="es-ES_tradnl"/>
              </w:rPr>
              <w:t>nuevo apartado 3 que regule los plazos de prescrip</w:t>
            </w:r>
            <w:r>
              <w:rPr>
                <w:rFonts w:eastAsia="Calibri" w:cs="Arial"/>
                <w:bCs/>
                <w:sz w:val="20"/>
                <w:szCs w:val="20"/>
                <w:lang w:val="es-ES_tradnl"/>
              </w:rPr>
              <w:t xml:space="preserve">ción de las acciones (6 meses), </w:t>
            </w:r>
            <w:r w:rsidRPr="00AB77E7">
              <w:rPr>
                <w:rFonts w:eastAsia="Calibri" w:cs="Arial"/>
                <w:bCs/>
                <w:sz w:val="20"/>
                <w:szCs w:val="20"/>
                <w:lang w:val="es-ES_tradnl"/>
              </w:rPr>
              <w:t>así como la remisión a las normas del Cód</w:t>
            </w:r>
            <w:r>
              <w:rPr>
                <w:rFonts w:eastAsia="Calibri" w:cs="Arial"/>
                <w:bCs/>
                <w:sz w:val="20"/>
                <w:szCs w:val="20"/>
                <w:lang w:val="es-ES_tradnl"/>
              </w:rPr>
              <w:t xml:space="preserve">igo Civil sobre saneamiento por </w:t>
            </w:r>
            <w:r w:rsidRPr="00AB77E7">
              <w:rPr>
                <w:rFonts w:eastAsia="Calibri" w:cs="Arial"/>
                <w:bCs/>
                <w:sz w:val="20"/>
                <w:szCs w:val="20"/>
                <w:lang w:val="es-ES_tradnl"/>
              </w:rPr>
              <w:t>evicción.</w:t>
            </w:r>
          </w:p>
        </w:tc>
        <w:tc>
          <w:tcPr>
            <w:tcW w:w="1860" w:type="pct"/>
            <w:shd w:val="clear" w:color="auto" w:fill="auto"/>
            <w:vAlign w:val="center"/>
          </w:tcPr>
          <w:p w:rsidR="00AB77E7" w:rsidRPr="006E5A21" w:rsidRDefault="005172DB" w:rsidP="005172DB">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lastRenderedPageBreak/>
              <w:t>La observación está dirigida a reproducir prácticamente completo el art. 85 de la Ley de Patentes. Esta regulación está justificada por este derecho de propiedad industrial, sin que pueda extenderse a los secretos empresariales, dada la diferente naturaleza de esta figura.</w:t>
            </w:r>
          </w:p>
        </w:tc>
      </w:tr>
      <w:tr w:rsidR="00AB77E7" w:rsidRPr="006E5A21" w:rsidTr="00127979">
        <w:trPr>
          <w:trHeight w:val="738"/>
        </w:trPr>
        <w:tc>
          <w:tcPr>
            <w:tcW w:w="641" w:type="pct"/>
            <w:shd w:val="clear" w:color="auto" w:fill="auto"/>
            <w:vAlign w:val="center"/>
          </w:tcPr>
          <w:p w:rsidR="00AB77E7" w:rsidRDefault="00133EE4" w:rsidP="00127979">
            <w:pPr>
              <w:spacing w:beforeLines="60" w:before="144" w:afterLines="60" w:after="144"/>
              <w:jc w:val="center"/>
              <w:rPr>
                <w:rFonts w:eastAsia="Times New Roman" w:cs="Times New Roman"/>
                <w:b/>
                <w:bCs/>
                <w:sz w:val="20"/>
                <w:szCs w:val="20"/>
              </w:rPr>
            </w:pPr>
            <w:r>
              <w:rPr>
                <w:rFonts w:eastAsia="Times New Roman" w:cs="Times New Roman"/>
                <w:b/>
                <w:bCs/>
                <w:sz w:val="20"/>
                <w:szCs w:val="20"/>
              </w:rPr>
              <w:lastRenderedPageBreak/>
              <w:t>Al nuevo artículo 8</w:t>
            </w:r>
          </w:p>
        </w:tc>
        <w:tc>
          <w:tcPr>
            <w:tcW w:w="641" w:type="pct"/>
            <w:shd w:val="clear" w:color="auto" w:fill="auto"/>
            <w:vAlign w:val="center"/>
          </w:tcPr>
          <w:p w:rsidR="00AB77E7" w:rsidRDefault="002A51F9" w:rsidP="002A51F9">
            <w:pPr>
              <w:spacing w:beforeLines="60" w:before="144" w:afterLines="60" w:after="144"/>
              <w:jc w:val="center"/>
              <w:rPr>
                <w:rFonts w:eastAsia="Times New Roman" w:cs="Times New Roman"/>
                <w:b/>
                <w:bCs/>
                <w:sz w:val="20"/>
                <w:szCs w:val="20"/>
              </w:rPr>
            </w:pPr>
            <w:r>
              <w:rPr>
                <w:rFonts w:eastAsia="Times New Roman" w:cs="Times New Roman"/>
                <w:b/>
                <w:bCs/>
                <w:sz w:val="20"/>
                <w:szCs w:val="20"/>
              </w:rPr>
              <w:t>OEPM</w:t>
            </w:r>
          </w:p>
        </w:tc>
        <w:tc>
          <w:tcPr>
            <w:tcW w:w="1859" w:type="pct"/>
            <w:shd w:val="clear" w:color="auto" w:fill="auto"/>
            <w:vAlign w:val="center"/>
          </w:tcPr>
          <w:p w:rsidR="00AB77E7" w:rsidRPr="00AB77E7" w:rsidRDefault="00AB77E7" w:rsidP="00AB77E7">
            <w:pPr>
              <w:spacing w:beforeLines="60" w:before="144" w:afterLines="60" w:after="144" w:line="240" w:lineRule="auto"/>
              <w:jc w:val="both"/>
              <w:rPr>
                <w:rFonts w:eastAsia="Calibri" w:cs="Arial"/>
                <w:bCs/>
                <w:sz w:val="20"/>
                <w:szCs w:val="20"/>
                <w:lang w:val="es-ES_tradnl"/>
              </w:rPr>
            </w:pPr>
            <w:r w:rsidRPr="00AB77E7">
              <w:rPr>
                <w:rFonts w:eastAsia="Calibri" w:cs="Arial"/>
                <w:bCs/>
                <w:sz w:val="20"/>
                <w:szCs w:val="20"/>
                <w:lang w:val="es-ES_tradnl"/>
              </w:rPr>
              <w:t xml:space="preserve">Se propone, también un nuevo artículo 8 que </w:t>
            </w:r>
            <w:r>
              <w:rPr>
                <w:rFonts w:eastAsia="Calibri" w:cs="Arial"/>
                <w:bCs/>
                <w:sz w:val="20"/>
                <w:szCs w:val="20"/>
                <w:lang w:val="es-ES_tradnl"/>
              </w:rPr>
              <w:t xml:space="preserve">completase la regulación con la </w:t>
            </w:r>
            <w:r w:rsidRPr="00AB77E7">
              <w:rPr>
                <w:rFonts w:eastAsia="Calibri" w:cs="Arial"/>
                <w:bCs/>
                <w:sz w:val="20"/>
                <w:szCs w:val="20"/>
                <w:lang w:val="es-ES_tradnl"/>
              </w:rPr>
              <w:t>alusión a la posible responsabilidad frente a terceros</w:t>
            </w:r>
            <w:r>
              <w:rPr>
                <w:rFonts w:eastAsia="Calibri" w:cs="Arial"/>
                <w:bCs/>
                <w:sz w:val="20"/>
                <w:szCs w:val="20"/>
                <w:lang w:val="es-ES_tradnl"/>
              </w:rPr>
              <w:t>.</w:t>
            </w:r>
          </w:p>
        </w:tc>
        <w:tc>
          <w:tcPr>
            <w:tcW w:w="1860" w:type="pct"/>
            <w:shd w:val="clear" w:color="auto" w:fill="auto"/>
            <w:vAlign w:val="center"/>
          </w:tcPr>
          <w:p w:rsidR="00AB77E7" w:rsidRPr="006E5A21" w:rsidRDefault="005172DB" w:rsidP="00127979">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La observación está dirigida a reproducir prácticamente completo el art. 86 de la Ley de Patentes. Esta regulación está justificada por este derecho de propiedad industrial, sin que pueda extenderse a los secretos empresariales, dada la diferente naturaleza de esta figura.</w:t>
            </w:r>
          </w:p>
        </w:tc>
      </w:tr>
      <w:tr w:rsidR="00AB77E7" w:rsidRPr="006E5A21" w:rsidTr="00127979">
        <w:trPr>
          <w:trHeight w:val="738"/>
        </w:trPr>
        <w:tc>
          <w:tcPr>
            <w:tcW w:w="641" w:type="pct"/>
            <w:shd w:val="clear" w:color="auto" w:fill="auto"/>
            <w:vAlign w:val="center"/>
          </w:tcPr>
          <w:p w:rsidR="00AB77E7" w:rsidRDefault="00133EE4" w:rsidP="00127979">
            <w:pPr>
              <w:spacing w:beforeLines="60" w:before="144" w:afterLines="60" w:after="144"/>
              <w:jc w:val="center"/>
              <w:rPr>
                <w:rFonts w:eastAsia="Times New Roman" w:cs="Times New Roman"/>
                <w:b/>
                <w:bCs/>
                <w:sz w:val="20"/>
                <w:szCs w:val="20"/>
              </w:rPr>
            </w:pPr>
            <w:r>
              <w:rPr>
                <w:rFonts w:eastAsia="Times New Roman" w:cs="Times New Roman"/>
                <w:b/>
                <w:bCs/>
                <w:sz w:val="20"/>
                <w:szCs w:val="20"/>
              </w:rPr>
              <w:t>Al nuevo artículo 13</w:t>
            </w:r>
          </w:p>
        </w:tc>
        <w:tc>
          <w:tcPr>
            <w:tcW w:w="641" w:type="pct"/>
            <w:shd w:val="clear" w:color="auto" w:fill="auto"/>
            <w:vAlign w:val="center"/>
          </w:tcPr>
          <w:p w:rsidR="00AB77E7" w:rsidRDefault="002A51F9" w:rsidP="002A51F9">
            <w:pPr>
              <w:spacing w:beforeLines="60" w:before="144" w:afterLines="60" w:after="144"/>
              <w:jc w:val="center"/>
              <w:rPr>
                <w:rFonts w:eastAsia="Times New Roman" w:cs="Times New Roman"/>
                <w:b/>
                <w:bCs/>
                <w:sz w:val="20"/>
                <w:szCs w:val="20"/>
              </w:rPr>
            </w:pPr>
            <w:r>
              <w:rPr>
                <w:rFonts w:eastAsia="Times New Roman" w:cs="Times New Roman"/>
                <w:b/>
                <w:bCs/>
                <w:sz w:val="20"/>
                <w:szCs w:val="20"/>
              </w:rPr>
              <w:t>OEPM</w:t>
            </w:r>
          </w:p>
        </w:tc>
        <w:tc>
          <w:tcPr>
            <w:tcW w:w="1859" w:type="pct"/>
            <w:shd w:val="clear" w:color="auto" w:fill="auto"/>
            <w:vAlign w:val="center"/>
          </w:tcPr>
          <w:p w:rsidR="00AB77E7" w:rsidRPr="00AB77E7" w:rsidRDefault="00AB77E7" w:rsidP="00AB77E7">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E</w:t>
            </w:r>
            <w:r w:rsidRPr="00AB77E7">
              <w:rPr>
                <w:rFonts w:eastAsia="Calibri" w:cs="Arial"/>
                <w:bCs/>
                <w:sz w:val="20"/>
                <w:szCs w:val="20"/>
                <w:lang w:val="es-ES_tradnl"/>
              </w:rPr>
              <w:t>n relación con el nuevo artícul</w:t>
            </w:r>
            <w:r>
              <w:rPr>
                <w:rFonts w:eastAsia="Calibri" w:cs="Arial"/>
                <w:bCs/>
                <w:sz w:val="20"/>
                <w:szCs w:val="20"/>
                <w:lang w:val="es-ES_tradnl"/>
              </w:rPr>
              <w:t>o 13, apartado 2, relativo a la</w:t>
            </w:r>
            <w:r w:rsidR="002A51F9">
              <w:rPr>
                <w:rFonts w:eastAsia="Calibri" w:cs="Arial"/>
                <w:bCs/>
                <w:sz w:val="20"/>
                <w:szCs w:val="20"/>
                <w:lang w:val="es-ES_tradnl"/>
              </w:rPr>
              <w:t xml:space="preserve"> </w:t>
            </w:r>
            <w:r w:rsidRPr="00AB77E7">
              <w:rPr>
                <w:rFonts w:eastAsia="Calibri" w:cs="Arial"/>
                <w:bCs/>
                <w:sz w:val="20"/>
                <w:szCs w:val="20"/>
                <w:lang w:val="es-ES_tradnl"/>
              </w:rPr>
              <w:t>legitimación para el ejercicio de las acciones, el p</w:t>
            </w:r>
            <w:r>
              <w:rPr>
                <w:rFonts w:eastAsia="Calibri" w:cs="Arial"/>
                <w:bCs/>
                <w:sz w:val="20"/>
                <w:szCs w:val="20"/>
                <w:lang w:val="es-ES_tradnl"/>
              </w:rPr>
              <w:t xml:space="preserve">lazo de un mes establecido para </w:t>
            </w:r>
            <w:r w:rsidRPr="00AB77E7">
              <w:rPr>
                <w:rFonts w:eastAsia="Calibri" w:cs="Arial"/>
                <w:bCs/>
                <w:sz w:val="20"/>
                <w:szCs w:val="20"/>
                <w:lang w:val="es-ES_tradnl"/>
              </w:rPr>
              <w:t xml:space="preserve">el ejercicio de las acciones desde el requerimiento </w:t>
            </w:r>
            <w:r>
              <w:rPr>
                <w:rFonts w:eastAsia="Calibri" w:cs="Arial"/>
                <w:bCs/>
                <w:sz w:val="20"/>
                <w:szCs w:val="20"/>
                <w:lang w:val="es-ES_tradnl"/>
              </w:rPr>
              <w:t xml:space="preserve">por parte del licenciatario, se </w:t>
            </w:r>
            <w:r w:rsidRPr="00AB77E7">
              <w:rPr>
                <w:rFonts w:eastAsia="Calibri" w:cs="Arial"/>
                <w:bCs/>
                <w:sz w:val="20"/>
                <w:szCs w:val="20"/>
                <w:lang w:val="es-ES_tradnl"/>
              </w:rPr>
              <w:t>considera que es demasiado breve, pues el titular no</w:t>
            </w:r>
            <w:r>
              <w:rPr>
                <w:rFonts w:eastAsia="Calibri" w:cs="Arial"/>
                <w:bCs/>
                <w:sz w:val="20"/>
                <w:szCs w:val="20"/>
                <w:lang w:val="es-ES_tradnl"/>
              </w:rPr>
              <w:t xml:space="preserve"> tendría tiempo suficiente para </w:t>
            </w:r>
            <w:r w:rsidRPr="00AB77E7">
              <w:rPr>
                <w:rFonts w:eastAsia="Calibri" w:cs="Arial"/>
                <w:bCs/>
                <w:sz w:val="20"/>
                <w:szCs w:val="20"/>
                <w:lang w:val="es-ES_tradnl"/>
              </w:rPr>
              <w:t>evaluar los hechos y preparar un escrito de d</w:t>
            </w:r>
            <w:r>
              <w:rPr>
                <w:rFonts w:eastAsia="Calibri" w:cs="Arial"/>
                <w:bCs/>
                <w:sz w:val="20"/>
                <w:szCs w:val="20"/>
                <w:lang w:val="es-ES_tradnl"/>
              </w:rPr>
              <w:t xml:space="preserve">emanda suficientemente fundado, </w:t>
            </w:r>
            <w:r w:rsidRPr="00AB77E7">
              <w:rPr>
                <w:rFonts w:eastAsia="Calibri" w:cs="Arial"/>
                <w:bCs/>
                <w:sz w:val="20"/>
                <w:szCs w:val="20"/>
                <w:lang w:val="es-ES_tradnl"/>
              </w:rPr>
              <w:t>sugiriendo la OEPM análogamente a lo previst</w:t>
            </w:r>
            <w:r>
              <w:rPr>
                <w:rFonts w:eastAsia="Calibri" w:cs="Arial"/>
                <w:bCs/>
                <w:sz w:val="20"/>
                <w:szCs w:val="20"/>
                <w:lang w:val="es-ES_tradnl"/>
              </w:rPr>
              <w:t xml:space="preserve">o en el art. 117.3 de la Ley de </w:t>
            </w:r>
            <w:r w:rsidRPr="00AB77E7">
              <w:rPr>
                <w:rFonts w:eastAsia="Calibri" w:cs="Arial"/>
                <w:bCs/>
                <w:sz w:val="20"/>
                <w:szCs w:val="20"/>
                <w:lang w:val="es-ES_tradnl"/>
              </w:rPr>
              <w:t>Patentes, ampliar este plazo a 3 meses</w:t>
            </w:r>
          </w:p>
        </w:tc>
        <w:tc>
          <w:tcPr>
            <w:tcW w:w="1860" w:type="pct"/>
            <w:shd w:val="clear" w:color="auto" w:fill="auto"/>
            <w:vAlign w:val="center"/>
          </w:tcPr>
          <w:p w:rsidR="00AB77E7" w:rsidRPr="006E5A21" w:rsidRDefault="005172DB" w:rsidP="00127979">
            <w:pPr>
              <w:spacing w:beforeLines="60" w:before="144" w:afterLines="60" w:after="144" w:line="240" w:lineRule="auto"/>
              <w:jc w:val="both"/>
              <w:rPr>
                <w:rFonts w:eastAsia="Calibri" w:cs="Arial"/>
                <w:bCs/>
                <w:sz w:val="20"/>
                <w:szCs w:val="20"/>
                <w:lang w:val="es-ES_tradnl"/>
              </w:rPr>
            </w:pPr>
            <w:r>
              <w:rPr>
                <w:rFonts w:eastAsia="Calibri" w:cs="Arial"/>
                <w:bCs/>
                <w:sz w:val="20"/>
                <w:szCs w:val="20"/>
                <w:lang w:val="es-ES_tradnl"/>
              </w:rPr>
              <w:t>SE ACEPTA.</w:t>
            </w:r>
          </w:p>
        </w:tc>
      </w:tr>
    </w:tbl>
    <w:p w:rsidR="00AF221B" w:rsidRDefault="00AF221B" w:rsidP="001D77C1">
      <w:pPr>
        <w:spacing w:before="240" w:after="240"/>
        <w:jc w:val="center"/>
        <w:rPr>
          <w:rFonts w:ascii="Arial" w:hAnsi="Arial" w:cs="Arial"/>
          <w:sz w:val="24"/>
          <w:szCs w:val="24"/>
          <w:lang w:val="es-ES_tradnl"/>
        </w:rPr>
      </w:pPr>
    </w:p>
    <w:p w:rsidR="00AF221B" w:rsidRDefault="00AF221B">
      <w:pPr>
        <w:rPr>
          <w:rFonts w:ascii="Arial" w:hAnsi="Arial" w:cs="Arial"/>
          <w:sz w:val="24"/>
          <w:szCs w:val="24"/>
          <w:lang w:val="es-ES_tradnl"/>
        </w:rPr>
      </w:pPr>
      <w:r>
        <w:rPr>
          <w:rFonts w:ascii="Arial" w:hAnsi="Arial" w:cs="Arial"/>
          <w:sz w:val="24"/>
          <w:szCs w:val="24"/>
          <w:lang w:val="es-ES_tradnl"/>
        </w:rPr>
        <w:br w:type="page"/>
      </w:r>
    </w:p>
    <w:p w:rsidR="001201A2" w:rsidRDefault="001201A2" w:rsidP="00AF221B">
      <w:pPr>
        <w:spacing w:before="240" w:after="240"/>
        <w:jc w:val="both"/>
        <w:rPr>
          <w:rFonts w:ascii="Arial" w:hAnsi="Arial" w:cs="Arial"/>
          <w:b/>
          <w:sz w:val="24"/>
          <w:szCs w:val="24"/>
        </w:rPr>
        <w:sectPr w:rsidR="001201A2" w:rsidSect="004172DA">
          <w:pgSz w:w="16838" w:h="11906" w:orient="landscape"/>
          <w:pgMar w:top="1701" w:right="1418" w:bottom="1701" w:left="1418" w:header="709" w:footer="709" w:gutter="0"/>
          <w:cols w:space="708"/>
          <w:docGrid w:linePitch="360"/>
        </w:sectPr>
      </w:pPr>
    </w:p>
    <w:p w:rsidR="001201A2" w:rsidRPr="00AF221B" w:rsidRDefault="00EF2032" w:rsidP="001201A2">
      <w:pPr>
        <w:spacing w:before="240" w:after="240"/>
        <w:jc w:val="center"/>
        <w:rPr>
          <w:rFonts w:ascii="Arial" w:hAnsi="Arial" w:cs="Arial"/>
          <w:b/>
          <w:sz w:val="24"/>
          <w:szCs w:val="24"/>
        </w:rPr>
      </w:pPr>
      <w:r>
        <w:rPr>
          <w:rFonts w:ascii="Arial" w:hAnsi="Arial" w:cs="Arial"/>
          <w:b/>
          <w:sz w:val="24"/>
          <w:szCs w:val="24"/>
        </w:rPr>
        <w:lastRenderedPageBreak/>
        <w:fldChar w:fldCharType="begin"/>
      </w:r>
      <w:r>
        <w:instrText xml:space="preserve"> "</w:instrText>
      </w:r>
      <w:r w:rsidRPr="002163C9">
        <w:rPr>
          <w:rFonts w:ascii="Arial" w:hAnsi="Arial" w:cs="Arial"/>
          <w:b/>
          <w:sz w:val="24"/>
          <w:szCs w:val="24"/>
        </w:rPr>
        <w:instrText>ANEXO V</w:instrText>
      </w:r>
      <w:r>
        <w:instrText xml:space="preserve">" </w:instrText>
      </w:r>
      <w:r>
        <w:rPr>
          <w:rFonts w:ascii="Arial" w:hAnsi="Arial" w:cs="Arial"/>
          <w:b/>
          <w:sz w:val="24"/>
          <w:szCs w:val="24"/>
        </w:rPr>
        <w:fldChar w:fldCharType="end"/>
      </w:r>
    </w:p>
    <w:p w:rsidR="005E7AEA" w:rsidRDefault="005E7AEA" w:rsidP="001201A2">
      <w:pPr>
        <w:spacing w:before="240" w:after="240"/>
        <w:jc w:val="center"/>
        <w:rPr>
          <w:rFonts w:ascii="Arial" w:hAnsi="Arial" w:cs="Arial"/>
          <w:b/>
          <w:sz w:val="24"/>
          <w:szCs w:val="24"/>
          <w:u w:val="single"/>
        </w:rPr>
      </w:pPr>
      <w:r>
        <w:rPr>
          <w:rFonts w:ascii="Arial" w:hAnsi="Arial" w:cs="Arial"/>
          <w:b/>
          <w:sz w:val="24"/>
          <w:szCs w:val="24"/>
          <w:u w:val="single"/>
        </w:rPr>
        <w:t>ANEXO V</w:t>
      </w:r>
    </w:p>
    <w:p w:rsidR="001201A2" w:rsidRDefault="005E7AEA" w:rsidP="001201A2">
      <w:pPr>
        <w:spacing w:before="240" w:after="240"/>
        <w:jc w:val="center"/>
        <w:rPr>
          <w:rFonts w:ascii="Arial" w:hAnsi="Arial" w:cs="Arial"/>
          <w:b/>
          <w:sz w:val="24"/>
          <w:szCs w:val="24"/>
          <w:u w:val="single"/>
        </w:rPr>
      </w:pPr>
      <w:r>
        <w:rPr>
          <w:rFonts w:ascii="Arial" w:hAnsi="Arial" w:cs="Arial"/>
          <w:b/>
          <w:sz w:val="24"/>
          <w:szCs w:val="24"/>
          <w:u w:val="single"/>
        </w:rPr>
        <w:t xml:space="preserve">Valoración </w:t>
      </w:r>
      <w:r w:rsidR="001201A2">
        <w:rPr>
          <w:rFonts w:ascii="Arial" w:hAnsi="Arial" w:cs="Arial"/>
          <w:b/>
          <w:sz w:val="24"/>
          <w:szCs w:val="24"/>
          <w:u w:val="single"/>
        </w:rPr>
        <w:t>Dictamen</w:t>
      </w:r>
      <w:r w:rsidR="001201A2" w:rsidRPr="00AF221B">
        <w:rPr>
          <w:rFonts w:ascii="Arial" w:hAnsi="Arial" w:cs="Arial"/>
          <w:b/>
          <w:sz w:val="24"/>
          <w:szCs w:val="24"/>
          <w:u w:val="single"/>
        </w:rPr>
        <w:t xml:space="preserve"> </w:t>
      </w:r>
      <w:r w:rsidR="00D97316">
        <w:rPr>
          <w:rFonts w:ascii="Arial" w:hAnsi="Arial" w:cs="Arial"/>
          <w:b/>
          <w:sz w:val="24"/>
          <w:szCs w:val="24"/>
          <w:u w:val="single"/>
        </w:rPr>
        <w:t xml:space="preserve">del </w:t>
      </w:r>
      <w:r w:rsidR="001201A2">
        <w:rPr>
          <w:rFonts w:ascii="Arial" w:hAnsi="Arial" w:cs="Arial"/>
          <w:b/>
          <w:sz w:val="24"/>
          <w:szCs w:val="24"/>
          <w:u w:val="single"/>
        </w:rPr>
        <w:t>Consejo de Estado</w:t>
      </w:r>
      <w:r w:rsidR="001201A2" w:rsidRPr="00AF221B">
        <w:rPr>
          <w:rFonts w:ascii="Arial" w:hAnsi="Arial" w:cs="Arial"/>
          <w:b/>
          <w:sz w:val="24"/>
          <w:szCs w:val="24"/>
          <w:u w:val="single"/>
        </w:rPr>
        <w:t xml:space="preserve"> </w:t>
      </w:r>
      <w:r w:rsidR="001201A2">
        <w:rPr>
          <w:rFonts w:ascii="Arial" w:hAnsi="Arial" w:cs="Arial"/>
          <w:b/>
          <w:sz w:val="24"/>
          <w:szCs w:val="24"/>
          <w:u w:val="single"/>
        </w:rPr>
        <w:t>núm. 401/2018, de 17 de mayo</w:t>
      </w:r>
    </w:p>
    <w:p w:rsidR="00D97316" w:rsidRDefault="00D97316" w:rsidP="001201A2">
      <w:pPr>
        <w:spacing w:before="240" w:after="240"/>
        <w:jc w:val="both"/>
        <w:rPr>
          <w:rFonts w:ascii="Arial" w:hAnsi="Arial" w:cs="Arial"/>
          <w:b/>
          <w:sz w:val="24"/>
          <w:szCs w:val="24"/>
        </w:rPr>
      </w:pPr>
    </w:p>
    <w:p w:rsidR="001201A2" w:rsidRPr="001201A2" w:rsidRDefault="001201A2" w:rsidP="00614F2F">
      <w:pPr>
        <w:spacing w:before="240" w:after="240"/>
        <w:jc w:val="center"/>
        <w:rPr>
          <w:rFonts w:ascii="Arial" w:hAnsi="Arial" w:cs="Arial"/>
          <w:b/>
          <w:sz w:val="24"/>
          <w:szCs w:val="24"/>
        </w:rPr>
      </w:pPr>
      <w:r w:rsidRPr="001201A2">
        <w:rPr>
          <w:rFonts w:ascii="Arial" w:hAnsi="Arial" w:cs="Arial"/>
          <w:b/>
          <w:sz w:val="24"/>
          <w:szCs w:val="24"/>
        </w:rPr>
        <w:t>I. CONSIDERACIONES PREVIAS DE CARÁCTER GENERAL</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Con carácter general, el Consejo de Estado valora positivamente el análisis que lleva a cabo la memoria de las principales observaciones formuladas por los distintos órganos  y entidades informantes y considera que la tramitación del expediente ha sido completa y correcta, permitiendo cumplir con su objetivo de tener en cuenta todos los puntos de vista y recabar contribuciones que aseguren la mejor preparación posible de la regulación legal proyectada.</w:t>
      </w:r>
    </w:p>
    <w:p w:rsidR="001201A2"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Asimismo, considera acertada la opción normativa adoptada por el </w:t>
      </w:r>
      <w:proofErr w:type="spellStart"/>
      <w:r w:rsidRPr="00614F2F">
        <w:rPr>
          <w:rFonts w:ascii="Arial" w:hAnsi="Arial" w:cs="Arial"/>
          <w:sz w:val="24"/>
          <w:szCs w:val="24"/>
        </w:rPr>
        <w:t>prelegislador</w:t>
      </w:r>
      <w:proofErr w:type="spellEnd"/>
      <w:r w:rsidRPr="00614F2F">
        <w:rPr>
          <w:rFonts w:ascii="Arial" w:hAnsi="Arial" w:cs="Arial"/>
          <w:sz w:val="24"/>
          <w:szCs w:val="24"/>
        </w:rPr>
        <w:t xml:space="preserve"> de llevar a cabo la aprobación de una Ley especial para transponer la Directiva (UE) 2016/943 así como la adopción en el texto de los términos “secreto empresarial” (en lugar de “secreto comercial”) y de “titular” (en lugar de “poseedor”).</w:t>
      </w:r>
    </w:p>
    <w:p w:rsidR="00A04EA3" w:rsidRDefault="001C7039" w:rsidP="001201A2">
      <w:pPr>
        <w:spacing w:before="240" w:after="240"/>
        <w:jc w:val="both"/>
        <w:rPr>
          <w:rFonts w:ascii="Arial" w:hAnsi="Arial" w:cs="Arial"/>
          <w:sz w:val="24"/>
          <w:szCs w:val="24"/>
        </w:rPr>
      </w:pPr>
      <w:r>
        <w:rPr>
          <w:rFonts w:ascii="Arial" w:hAnsi="Arial" w:cs="Arial"/>
          <w:sz w:val="24"/>
          <w:szCs w:val="24"/>
        </w:rPr>
        <w:t>No obstante, señala el Consejo de Estado que “</w:t>
      </w:r>
      <w:r w:rsidRPr="00614F2F">
        <w:rPr>
          <w:rFonts w:ascii="Arial" w:hAnsi="Arial" w:cs="Arial"/>
          <w:i/>
          <w:sz w:val="24"/>
          <w:szCs w:val="24"/>
        </w:rPr>
        <w:t xml:space="preserve">el título de la futura Ley podría ser algo más preciso, por lo que se sugiere el de “Ley sobre la </w:t>
      </w:r>
      <w:r w:rsidR="00316409" w:rsidRPr="00614F2F">
        <w:rPr>
          <w:rFonts w:ascii="Arial" w:hAnsi="Arial" w:cs="Arial"/>
          <w:i/>
          <w:sz w:val="24"/>
          <w:szCs w:val="24"/>
        </w:rPr>
        <w:t>protección</w:t>
      </w:r>
      <w:r w:rsidRPr="00614F2F">
        <w:rPr>
          <w:rFonts w:ascii="Arial" w:hAnsi="Arial" w:cs="Arial"/>
          <w:i/>
          <w:sz w:val="24"/>
          <w:szCs w:val="24"/>
        </w:rPr>
        <w:t xml:space="preserve"> de los secretos oficiales</w:t>
      </w:r>
      <w:r>
        <w:rPr>
          <w:rFonts w:ascii="Arial" w:hAnsi="Arial" w:cs="Arial"/>
          <w:sz w:val="24"/>
          <w:szCs w:val="24"/>
        </w:rPr>
        <w:t xml:space="preserve">” (SIC). Esta observación no se acepta pues, más allá del evidente error de término, </w:t>
      </w:r>
      <w:r w:rsidR="00A04EA3">
        <w:rPr>
          <w:rFonts w:ascii="Arial" w:hAnsi="Arial" w:cs="Arial"/>
          <w:sz w:val="24"/>
          <w:szCs w:val="24"/>
        </w:rPr>
        <w:t xml:space="preserve">parece más razonable </w:t>
      </w:r>
      <w:r w:rsidR="00A04EA3" w:rsidRPr="00A04EA3">
        <w:rPr>
          <w:rFonts w:ascii="Arial" w:hAnsi="Arial" w:cs="Arial"/>
          <w:sz w:val="24"/>
          <w:szCs w:val="24"/>
        </w:rPr>
        <w:t xml:space="preserve">mantener la denominación del APL al regular </w:t>
      </w:r>
      <w:r w:rsidR="00A04EA3" w:rsidRPr="00614F2F">
        <w:rPr>
          <w:rFonts w:ascii="Arial" w:hAnsi="Arial" w:cs="Arial"/>
          <w:i/>
          <w:sz w:val="24"/>
          <w:szCs w:val="24"/>
        </w:rPr>
        <w:t xml:space="preserve">ex </w:t>
      </w:r>
      <w:proofErr w:type="spellStart"/>
      <w:r w:rsidR="00A04EA3" w:rsidRPr="00614F2F">
        <w:rPr>
          <w:rFonts w:ascii="Arial" w:hAnsi="Arial" w:cs="Arial"/>
          <w:i/>
          <w:sz w:val="24"/>
          <w:szCs w:val="24"/>
        </w:rPr>
        <w:t>novo</w:t>
      </w:r>
      <w:proofErr w:type="spellEnd"/>
      <w:r w:rsidR="00A04EA3" w:rsidRPr="00A04EA3">
        <w:rPr>
          <w:rFonts w:ascii="Arial" w:hAnsi="Arial" w:cs="Arial"/>
          <w:sz w:val="24"/>
          <w:szCs w:val="24"/>
        </w:rPr>
        <w:t xml:space="preserve"> en nuestro ordenamiento un “régimen integral” de los secretos empresariales </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Por su parte, sobre la importancia de cohonestar la libertad de información y el interés general de los secretos empresariales y la decisión del </w:t>
      </w:r>
      <w:proofErr w:type="spellStart"/>
      <w:r w:rsidRPr="00614F2F">
        <w:rPr>
          <w:rFonts w:ascii="Arial" w:hAnsi="Arial" w:cs="Arial"/>
          <w:sz w:val="24"/>
          <w:szCs w:val="24"/>
        </w:rPr>
        <w:t>prelegislador</w:t>
      </w:r>
      <w:proofErr w:type="spellEnd"/>
      <w:r w:rsidRPr="00614F2F">
        <w:rPr>
          <w:rFonts w:ascii="Arial" w:hAnsi="Arial" w:cs="Arial"/>
          <w:sz w:val="24"/>
          <w:szCs w:val="24"/>
        </w:rPr>
        <w:t xml:space="preserve"> de no incluir en el texto del APL las previsiones del art. 7 de la Directiva, señala el Consejo de Estado que no tiene nada que objetar (sin perjuicio de lo señalado en las observaciones al articulado) si bien señala que: </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w:t>
      </w:r>
      <w:r w:rsidRPr="00614F2F">
        <w:rPr>
          <w:rFonts w:ascii="Arial" w:hAnsi="Arial" w:cs="Arial"/>
          <w:i/>
          <w:sz w:val="24"/>
          <w:szCs w:val="24"/>
        </w:rPr>
        <w:t xml:space="preserve">el Anteproyecto debería prever la posibilidad de imponer sanciones cuya eficacia coercitiva sea superior a las multas por importe máximo de 6.000 euros que prevé el artículo 247.3 de la Ley de Enjuiciamiento Civil. Se trata de articular mecanismos que tengan la verdadera virtualidad de impedir que las empresas, bajo la cobertura de la supuesta defensa de un secreto empresarial, utilicen alguna de las acciones previstas en el Anteproyecto con la finalidad de ejercer una indebida presión sobre quien ha obtenido algún tipo de información cuya divulgación pudiera estar cubierta por alguna de las excepciones que contempla la Directiva, obligándole a autocensurarse (por ejemplo, con </w:t>
      </w:r>
      <w:r w:rsidRPr="00614F2F">
        <w:rPr>
          <w:rFonts w:ascii="Arial" w:hAnsi="Arial" w:cs="Arial"/>
          <w:i/>
          <w:sz w:val="24"/>
          <w:szCs w:val="24"/>
        </w:rPr>
        <w:lastRenderedPageBreak/>
        <w:t xml:space="preserve">solicitudes de indemnización de daños y perjuicios desproporcionados; son los llamados SLAPP, acrónimo de la expresión inglesa </w:t>
      </w:r>
      <w:proofErr w:type="spellStart"/>
      <w:r w:rsidRPr="00614F2F">
        <w:rPr>
          <w:rFonts w:ascii="Arial" w:hAnsi="Arial" w:cs="Arial"/>
          <w:i/>
          <w:sz w:val="24"/>
          <w:szCs w:val="24"/>
        </w:rPr>
        <w:t>strategic</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lawsuit</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against</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public</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participation</w:t>
      </w:r>
      <w:proofErr w:type="spellEnd"/>
      <w:r w:rsidRPr="00614F2F">
        <w:rPr>
          <w:rFonts w:ascii="Arial" w:hAnsi="Arial" w:cs="Arial"/>
          <w:i/>
          <w:sz w:val="24"/>
          <w:szCs w:val="24"/>
        </w:rPr>
        <w:t>), por lo que cabe proponer una elevación, para estos casos, de ese límite máximo de las sanciones a imponer, y añadir la posibilidad de fijar su importe en proporción a las cuantías solicitadas en la demanda en concepto de indemnización. Con la misma finalidad, sería adecuado que el órgano judicial pueda ordenar la  difusión de la resolución en que se constate ese carácter abusivo y manifiestamente infundado de la demanda interpuesta, una medida igualmente prevista por la Directiva y que puede tener gran eficacia en algunos casos</w:t>
      </w:r>
      <w:r w:rsidRPr="00614F2F">
        <w:rPr>
          <w:rFonts w:ascii="Arial" w:hAnsi="Arial" w:cs="Arial"/>
          <w:sz w:val="24"/>
          <w:szCs w:val="24"/>
        </w:rPr>
        <w:t>.”</w:t>
      </w:r>
    </w:p>
    <w:p w:rsidR="001201A2"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 xml:space="preserve">VALORACIÓN: Se acepta </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Finalmente, en cuanto a los desajustes puntuales respecto a la Directiva, como consecuencia de la omisión de remisiones al Derecho europeo, señala el Consejo de Estado lo siguiente:</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“Varios artículos de la Directiva efectúan, a efectos de precisar diversos conceptos jurídicos indeterminados en ella contenidos, o para delimitar la definición o el alcance de sus previsiones, una remisión general a lo dispuesto "en el Derecho de la Unión o nacional", o a disposiciones concretas del Derecho de la Unión, como la Carta de los Derechos Fundamentales de la Unión Europea. Tal es el caso, en particular, de los artículos 3.1, 3.2, 5.a), c)  y d) de la Directiva.</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Se observa, sin embargo, que esas remisiones no se han reproducido de forma literal en el Anteproyecto, que opta alternativamente por llamadas genéricas a "la ley" o a "la legislación" y, en el caso de la transposición del artículo 5.a), por una sustitución indebida del estándar de protección de los derechos a que allí se hace referencia. Tal redacción no siempre resulta conforme a las exigencias de la Directiva, y podría plantear en el futuro desajustes técnicos en relación con la misma, por lo que, en los casos que a continuación se detallan, debe procederse a una reproducción textual de las remisiones citadas.</w:t>
      </w:r>
    </w:p>
    <w:p w:rsidR="00B11129" w:rsidRPr="00614F2F" w:rsidRDefault="00B11129" w:rsidP="00B11129">
      <w:pPr>
        <w:numPr>
          <w:ilvl w:val="0"/>
          <w:numId w:val="21"/>
        </w:numPr>
        <w:spacing w:before="240" w:after="240"/>
        <w:jc w:val="both"/>
        <w:rPr>
          <w:rFonts w:ascii="Arial" w:hAnsi="Arial" w:cs="Arial"/>
          <w:b/>
          <w:sz w:val="24"/>
          <w:szCs w:val="24"/>
          <w:lang w:val="es-ES_tradnl"/>
        </w:rPr>
      </w:pPr>
      <w:r w:rsidRPr="00614F2F">
        <w:rPr>
          <w:rFonts w:ascii="Arial" w:hAnsi="Arial" w:cs="Arial"/>
          <w:b/>
          <w:sz w:val="24"/>
          <w:szCs w:val="24"/>
          <w:lang w:val="es-ES_tradnl"/>
        </w:rPr>
        <w:t>Artículo 2.2: Obtención, utilización o revelación lícitas de un secreto empresarial</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El artículo 2.2 del Anteproyecto establece que "</w:t>
      </w:r>
      <w:r w:rsidRPr="00B11129">
        <w:rPr>
          <w:rFonts w:ascii="Arial" w:hAnsi="Arial" w:cs="Arial"/>
          <w:i/>
          <w:sz w:val="24"/>
          <w:szCs w:val="24"/>
          <w:u w:val="single"/>
        </w:rPr>
        <w:t>la obtención, utilización o revelación de un secreto empresarial se consideran lícitas en los casos y términos en los que la ley lo exija o permita</w:t>
      </w:r>
      <w:r w:rsidRPr="00B11129">
        <w:rPr>
          <w:rFonts w:ascii="Arial" w:hAnsi="Arial" w:cs="Arial"/>
          <w:sz w:val="24"/>
          <w:szCs w:val="24"/>
          <w:u w:val="single"/>
        </w:rPr>
        <w:t>",  mientras que   el artículo 3.2 de la Directiva afirma que serán lícitas "</w:t>
      </w:r>
      <w:r w:rsidRPr="00B11129">
        <w:rPr>
          <w:rFonts w:ascii="Arial" w:hAnsi="Arial" w:cs="Arial"/>
          <w:i/>
          <w:sz w:val="24"/>
          <w:szCs w:val="24"/>
          <w:u w:val="single"/>
        </w:rPr>
        <w:t>en la medida en que el Derecho de la Unión o nacional exijan o permitan dicha obtención, utilización o revelación</w:t>
      </w:r>
      <w:r w:rsidRPr="00B11129">
        <w:rPr>
          <w:rFonts w:ascii="Arial" w:hAnsi="Arial" w:cs="Arial"/>
          <w:sz w:val="24"/>
          <w:szCs w:val="24"/>
          <w:u w:val="single"/>
        </w:rPr>
        <w:t xml:space="preserve">". En este caso es ineludible que la norma nacional haga referencia expresa tanto al Derecho de la Unión como a la legislación nacional, pues podría haber supuestos de actuaciones lícitas contemplados en normas europeas de </w:t>
      </w:r>
      <w:r w:rsidRPr="00B11129">
        <w:rPr>
          <w:rFonts w:ascii="Arial" w:hAnsi="Arial" w:cs="Arial"/>
          <w:sz w:val="24"/>
          <w:szCs w:val="24"/>
          <w:u w:val="single"/>
        </w:rPr>
        <w:lastRenderedPageBreak/>
        <w:t>aplicación directa, y que carezcan de un correlato en la legislación nacional. Además,  la  referencia  que el  precepto  aquí  comentado  hace,  con carácter general,  a "</w:t>
      </w:r>
      <w:r w:rsidRPr="00B11129">
        <w:rPr>
          <w:rFonts w:ascii="Arial" w:hAnsi="Arial" w:cs="Arial"/>
          <w:i/>
          <w:sz w:val="24"/>
          <w:szCs w:val="24"/>
          <w:u w:val="single"/>
        </w:rPr>
        <w:t>la  ley</w:t>
      </w:r>
      <w:r w:rsidRPr="00B11129">
        <w:rPr>
          <w:rFonts w:ascii="Arial" w:hAnsi="Arial" w:cs="Arial"/>
          <w:sz w:val="24"/>
          <w:szCs w:val="24"/>
          <w:u w:val="single"/>
        </w:rPr>
        <w:t>",  podría  hacer  pensar  que  se  refiere  exclusivamente a la norma  proyectada  o  a  una  norma  con  rango  de  ley  -con  exclusión de la regulación reglamentaria-, lo que sería excesivamente limitativo.</w:t>
      </w:r>
    </w:p>
    <w:p w:rsidR="00B11129" w:rsidRPr="00614F2F" w:rsidRDefault="00B11129" w:rsidP="00B11129">
      <w:pPr>
        <w:numPr>
          <w:ilvl w:val="0"/>
          <w:numId w:val="21"/>
        </w:numPr>
        <w:spacing w:before="240" w:after="240"/>
        <w:jc w:val="both"/>
        <w:rPr>
          <w:rFonts w:ascii="Arial" w:hAnsi="Arial" w:cs="Arial"/>
          <w:b/>
          <w:sz w:val="24"/>
          <w:szCs w:val="24"/>
          <w:lang w:val="es-ES_tradnl"/>
        </w:rPr>
      </w:pPr>
      <w:r w:rsidRPr="00614F2F">
        <w:rPr>
          <w:rFonts w:ascii="Arial" w:hAnsi="Arial" w:cs="Arial"/>
          <w:b/>
          <w:sz w:val="24"/>
          <w:szCs w:val="24"/>
          <w:lang w:val="es-ES_tradnl"/>
        </w:rPr>
        <w:t>Artículo  2.3.a): El ejercicio  de la libertad de expresión  y   de información</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En la letra a) del artículo 2.3 del Anteproyecto se consideran lícitos los casos de obtención, utilización o revelación de secretos  empresariales que tengan lugar "</w:t>
      </w:r>
      <w:r w:rsidRPr="00B11129">
        <w:rPr>
          <w:rFonts w:ascii="Arial" w:hAnsi="Arial" w:cs="Arial"/>
          <w:i/>
          <w:sz w:val="24"/>
          <w:szCs w:val="24"/>
          <w:u w:val="single"/>
        </w:rPr>
        <w:t>en el ejercicio del derecho a la libertad de expresión e información constitucionalmente reconocido, incluido el respeto a la libertad y al pluralismo de los medíos de comunicación</w:t>
      </w:r>
      <w:r w:rsidRPr="00B11129">
        <w:rPr>
          <w:rFonts w:ascii="Arial" w:hAnsi="Arial" w:cs="Arial"/>
          <w:sz w:val="24"/>
          <w:szCs w:val="24"/>
          <w:u w:val="single"/>
        </w:rPr>
        <w:t>".</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La referencia al derecho a la libertad de expresión e información "</w:t>
      </w:r>
      <w:r w:rsidRPr="00B11129">
        <w:rPr>
          <w:rFonts w:ascii="Arial" w:hAnsi="Arial" w:cs="Arial"/>
          <w:i/>
          <w:sz w:val="24"/>
          <w:szCs w:val="24"/>
          <w:u w:val="single"/>
        </w:rPr>
        <w:t>constitucionalmente reconocido</w:t>
      </w:r>
      <w:r w:rsidRPr="00B11129">
        <w:rPr>
          <w:rFonts w:ascii="Arial" w:hAnsi="Arial" w:cs="Arial"/>
          <w:sz w:val="24"/>
          <w:szCs w:val="24"/>
          <w:u w:val="single"/>
        </w:rPr>
        <w:t>" constituye una transposición incorrecta del artículo 5.a) de la Directiva, que se refiere específicamente al derecho equivalente "</w:t>
      </w:r>
      <w:r w:rsidRPr="00B11129">
        <w:rPr>
          <w:rFonts w:ascii="Arial" w:hAnsi="Arial" w:cs="Arial"/>
          <w:i/>
          <w:sz w:val="24"/>
          <w:szCs w:val="24"/>
          <w:u w:val="single"/>
        </w:rPr>
        <w:t>recogido en la Carta</w:t>
      </w:r>
      <w:r w:rsidRPr="00B11129">
        <w:rPr>
          <w:rFonts w:ascii="Arial" w:hAnsi="Arial" w:cs="Arial"/>
          <w:sz w:val="24"/>
          <w:szCs w:val="24"/>
          <w:u w:val="single"/>
        </w:rPr>
        <w:t xml:space="preserve">". En la medida en que no cabe excluir la existencia de disparidades entre el estándar de protección constitucional nacional y el europeo, el Anteproyecto debe hacer referencia a este último, como establece la Directiva y en línea con las exigencias de la jurisprudencia </w:t>
      </w:r>
      <w:proofErr w:type="spellStart"/>
      <w:r w:rsidRPr="00B11129">
        <w:rPr>
          <w:rFonts w:ascii="Arial" w:hAnsi="Arial" w:cs="Arial"/>
          <w:sz w:val="24"/>
          <w:szCs w:val="24"/>
          <w:u w:val="single"/>
        </w:rPr>
        <w:t>Melloni</w:t>
      </w:r>
      <w:proofErr w:type="spellEnd"/>
      <w:r w:rsidRPr="00B11129">
        <w:rPr>
          <w:rFonts w:ascii="Arial" w:hAnsi="Arial" w:cs="Arial"/>
          <w:sz w:val="24"/>
          <w:szCs w:val="24"/>
          <w:u w:val="single"/>
        </w:rPr>
        <w:t xml:space="preserve">, que desplaza la aplicación de los estándares de protección nacional de los derechos fundamentales en materias armonizadas (Sentencia del TJUE de 26 de febrero de 2013, </w:t>
      </w:r>
      <w:proofErr w:type="spellStart"/>
      <w:r w:rsidRPr="00B11129">
        <w:rPr>
          <w:rFonts w:ascii="Arial" w:hAnsi="Arial" w:cs="Arial"/>
          <w:sz w:val="24"/>
          <w:szCs w:val="24"/>
          <w:u w:val="single"/>
        </w:rPr>
        <w:t>Melloní</w:t>
      </w:r>
      <w:proofErr w:type="spellEnd"/>
      <w:r w:rsidRPr="00B11129">
        <w:rPr>
          <w:rFonts w:ascii="Arial" w:hAnsi="Arial" w:cs="Arial"/>
          <w:sz w:val="24"/>
          <w:szCs w:val="24"/>
          <w:u w:val="single"/>
        </w:rPr>
        <w:t>, asunto C-399/11).</w:t>
      </w:r>
    </w:p>
    <w:p w:rsidR="00B11129" w:rsidRPr="00614F2F" w:rsidRDefault="00B11129" w:rsidP="00B11129">
      <w:pPr>
        <w:numPr>
          <w:ilvl w:val="0"/>
          <w:numId w:val="21"/>
        </w:numPr>
        <w:spacing w:before="240" w:after="240"/>
        <w:jc w:val="both"/>
        <w:rPr>
          <w:rFonts w:ascii="Arial" w:hAnsi="Arial" w:cs="Arial"/>
          <w:b/>
          <w:sz w:val="24"/>
          <w:szCs w:val="24"/>
          <w:lang w:val="es-ES_tradnl"/>
        </w:rPr>
      </w:pPr>
      <w:r w:rsidRPr="00614F2F">
        <w:rPr>
          <w:rFonts w:ascii="Arial" w:hAnsi="Arial" w:cs="Arial"/>
          <w:b/>
          <w:sz w:val="24"/>
          <w:szCs w:val="24"/>
          <w:lang w:val="es-ES_tradnl"/>
        </w:rPr>
        <w:t>Artículo 2.3.c): Informaciones transmitidas a los representantes de los trabajadores</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La letra c) del artículo 2.3 del Anteproyecto se refiere al caso en que "</w:t>
      </w:r>
      <w:r w:rsidRPr="00B11129">
        <w:rPr>
          <w:rFonts w:ascii="Arial" w:hAnsi="Arial" w:cs="Arial"/>
          <w:i/>
          <w:sz w:val="24"/>
          <w:szCs w:val="24"/>
          <w:u w:val="single"/>
        </w:rPr>
        <w:t>los trabajadores lo hayan puesto [el secreto] en conocimiento de sus representantes, en el marco legítimo por parte de estos de las funciones que tienen legalmente atribuidas, siempre que tal revelación fuera necesaria para ese ejercicio</w:t>
      </w:r>
      <w:r w:rsidRPr="00B11129">
        <w:rPr>
          <w:rFonts w:ascii="Arial" w:hAnsi="Arial" w:cs="Arial"/>
          <w:sz w:val="24"/>
          <w:szCs w:val="24"/>
          <w:u w:val="single"/>
        </w:rPr>
        <w:t>". De nuevo se da aquí una reproducción incorrecta de la Directiva, que en el artículo 5.c) se refiere al ejercicio por los representantes de los trabajadores de sus funciones "</w:t>
      </w:r>
      <w:r w:rsidRPr="00B11129">
        <w:rPr>
          <w:rFonts w:ascii="Arial" w:hAnsi="Arial" w:cs="Arial"/>
          <w:i/>
          <w:sz w:val="24"/>
          <w:szCs w:val="24"/>
          <w:u w:val="single"/>
        </w:rPr>
        <w:t>de conformidad con el Derecho de la Unión o nacional</w:t>
      </w:r>
      <w:r w:rsidRPr="00B11129">
        <w:rPr>
          <w:rFonts w:ascii="Arial" w:hAnsi="Arial" w:cs="Arial"/>
          <w:sz w:val="24"/>
          <w:szCs w:val="24"/>
          <w:u w:val="single"/>
        </w:rPr>
        <w:t>".   Por  los  mismos  motivos   ya  apuntados  en  relación   con    otros preceptos, es indispensable una reproducción literal de la referencia al Derecho de la Unión y a la legislación nacional en este punto.</w:t>
      </w:r>
    </w:p>
    <w:p w:rsidR="00B11129" w:rsidRPr="00614F2F" w:rsidRDefault="00B11129" w:rsidP="00B11129">
      <w:pPr>
        <w:numPr>
          <w:ilvl w:val="0"/>
          <w:numId w:val="21"/>
        </w:numPr>
        <w:spacing w:before="240" w:after="240"/>
        <w:jc w:val="both"/>
        <w:rPr>
          <w:rFonts w:ascii="Arial" w:hAnsi="Arial" w:cs="Arial"/>
          <w:b/>
          <w:sz w:val="24"/>
          <w:szCs w:val="24"/>
          <w:lang w:val="es-ES_tradnl"/>
        </w:rPr>
      </w:pPr>
      <w:r w:rsidRPr="00614F2F">
        <w:rPr>
          <w:rFonts w:ascii="Arial" w:hAnsi="Arial" w:cs="Arial"/>
          <w:b/>
          <w:sz w:val="24"/>
          <w:szCs w:val="24"/>
          <w:lang w:val="es-ES_tradnl"/>
        </w:rPr>
        <w:t>Artículo  2.3.d):  Revelaciones justificadas  por  un  interés legítimo</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Idéntica observación cabe formular en relación con el contenido de la letra d) del artículo 2.3 del Anteproyecto, que se refiere a las actuaciones llevadas a cabo "</w:t>
      </w:r>
      <w:r w:rsidRPr="00B11129">
        <w:rPr>
          <w:rFonts w:ascii="Arial" w:hAnsi="Arial" w:cs="Arial"/>
          <w:i/>
          <w:sz w:val="24"/>
          <w:szCs w:val="24"/>
          <w:u w:val="single"/>
        </w:rPr>
        <w:t>con el fin de proteger un interés legítimo reconocido por la ley</w:t>
      </w:r>
      <w:r w:rsidRPr="00B11129">
        <w:rPr>
          <w:rFonts w:ascii="Arial" w:hAnsi="Arial" w:cs="Arial"/>
          <w:sz w:val="24"/>
          <w:szCs w:val="24"/>
          <w:u w:val="single"/>
        </w:rPr>
        <w:t xml:space="preserve">"  en lugar </w:t>
      </w:r>
      <w:r w:rsidRPr="00B11129">
        <w:rPr>
          <w:rFonts w:ascii="Arial" w:hAnsi="Arial" w:cs="Arial"/>
          <w:sz w:val="24"/>
          <w:szCs w:val="24"/>
          <w:u w:val="single"/>
        </w:rPr>
        <w:lastRenderedPageBreak/>
        <w:t>de hacer referencia, como hace la Directiva en su artículo 5.d), al "</w:t>
      </w:r>
      <w:r w:rsidRPr="00B11129">
        <w:rPr>
          <w:rFonts w:ascii="Arial" w:hAnsi="Arial" w:cs="Arial"/>
          <w:i/>
          <w:sz w:val="24"/>
          <w:szCs w:val="24"/>
          <w:u w:val="single"/>
        </w:rPr>
        <w:t>interés legítimo  reconocido  por el Derecho de la Unión o  nacional</w:t>
      </w:r>
      <w:r w:rsidRPr="00B11129">
        <w:rPr>
          <w:rFonts w:ascii="Arial" w:hAnsi="Arial" w:cs="Arial"/>
          <w:sz w:val="24"/>
          <w:szCs w:val="24"/>
          <w:u w:val="single"/>
        </w:rPr>
        <w:t>".</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Las razones de orden público, seguridad pública y salud pública y las restantes previstas, por ejemplo, en los artículos 45, 52 y 65 del Tratado sobre el Funcionamiento de la Unión Europea, y en una nutrida jurisprudencia en la materia, proporcionan algunos ejemplos ilustrativos de intereses legítimos reconocidos por el Derecho de la Unión y que deben quedar igualmente cubiertos por el Anteproyecto, por lo que procede, una vez más, señalarse la necesidad de reproducir en este punto de forma más literal el contenido de la Directiva.</w:t>
      </w:r>
    </w:p>
    <w:p w:rsidR="00B11129" w:rsidRPr="00B11129" w:rsidRDefault="00B11129" w:rsidP="00B11129">
      <w:pPr>
        <w:spacing w:before="240" w:after="240"/>
        <w:jc w:val="both"/>
        <w:rPr>
          <w:rFonts w:ascii="Arial" w:hAnsi="Arial" w:cs="Arial"/>
          <w:sz w:val="24"/>
          <w:szCs w:val="24"/>
          <w:u w:val="single"/>
        </w:rPr>
      </w:pPr>
      <w:r w:rsidRPr="00B11129">
        <w:rPr>
          <w:rFonts w:ascii="Arial" w:hAnsi="Arial" w:cs="Arial"/>
          <w:sz w:val="24"/>
          <w:szCs w:val="24"/>
          <w:u w:val="single"/>
        </w:rPr>
        <w:t>En particular, en este caso, además de incorporarse la referencia al Derecho de la Unión, debería evitarse también emplear la expresión "</w:t>
      </w:r>
      <w:r w:rsidRPr="00B11129">
        <w:rPr>
          <w:rFonts w:ascii="Arial" w:hAnsi="Arial" w:cs="Arial"/>
          <w:i/>
          <w:sz w:val="24"/>
          <w:szCs w:val="24"/>
          <w:u w:val="single"/>
        </w:rPr>
        <w:t>interés legítimo reconocido por la ley</w:t>
      </w:r>
      <w:r w:rsidRPr="00B11129">
        <w:rPr>
          <w:rFonts w:ascii="Arial" w:hAnsi="Arial" w:cs="Arial"/>
          <w:sz w:val="24"/>
          <w:szCs w:val="24"/>
          <w:u w:val="single"/>
        </w:rPr>
        <w:t>", pues puede inducir al error de que se trata exclusivamente de la Ley de secretos empresariales, y no del Derecho nacional en general, que es lo que exige la Directiva. En particular, ello excluiría indebidamente la posibilidad de tener en cuenta las importantes prescripciones que a este respecto establece el artículo 14 de la Ley 1912013, de 9 de diciembre, de transparencia, acceso a la información pública y buen gobierno.</w:t>
      </w:r>
    </w:p>
    <w:p w:rsidR="00B11129" w:rsidRPr="00614F2F" w:rsidRDefault="00B11129" w:rsidP="00B11129">
      <w:pPr>
        <w:spacing w:before="240" w:after="240"/>
        <w:jc w:val="both"/>
        <w:rPr>
          <w:rFonts w:ascii="Arial" w:hAnsi="Arial" w:cs="Arial"/>
          <w:b/>
          <w:sz w:val="24"/>
          <w:szCs w:val="24"/>
        </w:rPr>
      </w:pPr>
      <w:r w:rsidRPr="00614F2F">
        <w:rPr>
          <w:rFonts w:ascii="Arial" w:hAnsi="Arial" w:cs="Arial"/>
          <w:b/>
          <w:sz w:val="24"/>
          <w:szCs w:val="24"/>
        </w:rPr>
        <w:t>Esta observación tiene carácter esencial, a efectos de lo previsto en el artículo 130.3 del Reglamento Orgánico del Consejo de Estado, aprobado por el Real Decreto 167411980, de 18 de julio.”</w:t>
      </w:r>
    </w:p>
    <w:p w:rsidR="00B11129" w:rsidRPr="00614F2F" w:rsidRDefault="00B11129" w:rsidP="00B11129">
      <w:pPr>
        <w:spacing w:before="240" w:after="240"/>
        <w:jc w:val="both"/>
        <w:rPr>
          <w:rFonts w:ascii="Arial" w:hAnsi="Arial" w:cs="Arial"/>
          <w:sz w:val="24"/>
          <w:szCs w:val="24"/>
          <w:u w:val="single"/>
        </w:rPr>
      </w:pPr>
      <w:r w:rsidRPr="00614F2F">
        <w:rPr>
          <w:rFonts w:ascii="Arial" w:hAnsi="Arial" w:cs="Arial"/>
          <w:sz w:val="24"/>
          <w:szCs w:val="24"/>
          <w:u w:val="single"/>
        </w:rPr>
        <w:t>VALORACIÓN: Se aceptan todas.</w:t>
      </w:r>
    </w:p>
    <w:p w:rsidR="001201A2" w:rsidRPr="001201A2" w:rsidRDefault="001201A2" w:rsidP="001201A2">
      <w:pPr>
        <w:spacing w:before="240" w:after="240"/>
        <w:jc w:val="both"/>
        <w:rPr>
          <w:rFonts w:ascii="Arial" w:hAnsi="Arial" w:cs="Arial"/>
          <w:b/>
          <w:sz w:val="24"/>
          <w:szCs w:val="24"/>
        </w:rPr>
      </w:pPr>
    </w:p>
    <w:p w:rsidR="001201A2" w:rsidRPr="001201A2" w:rsidRDefault="001201A2" w:rsidP="00614F2F">
      <w:pPr>
        <w:spacing w:before="240" w:after="240"/>
        <w:jc w:val="center"/>
        <w:rPr>
          <w:rFonts w:ascii="Arial" w:hAnsi="Arial" w:cs="Arial"/>
          <w:b/>
          <w:sz w:val="24"/>
          <w:szCs w:val="24"/>
        </w:rPr>
      </w:pPr>
      <w:r w:rsidRPr="001201A2">
        <w:rPr>
          <w:rFonts w:ascii="Arial" w:hAnsi="Arial" w:cs="Arial"/>
          <w:b/>
          <w:sz w:val="24"/>
          <w:szCs w:val="24"/>
        </w:rPr>
        <w:t xml:space="preserve">II. OBSERVACIONES AL ARTICULADO </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A) Artículo 1: Objeto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Tras el análisis del precepto, el Consejo de Estado puntualiza que</w:t>
      </w:r>
      <w:r w:rsidR="00D164CA">
        <w:rPr>
          <w:rFonts w:ascii="Arial" w:hAnsi="Arial" w:cs="Arial"/>
          <w:sz w:val="24"/>
          <w:szCs w:val="24"/>
        </w:rPr>
        <w:t>:</w:t>
      </w:r>
      <w:r w:rsidRPr="00614F2F">
        <w:rPr>
          <w:rFonts w:ascii="Arial" w:hAnsi="Arial" w:cs="Arial"/>
          <w:sz w:val="24"/>
          <w:szCs w:val="24"/>
        </w:rPr>
        <w:t xml:space="preserve"> </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w:t>
      </w:r>
      <w:r w:rsidRPr="00614F2F">
        <w:rPr>
          <w:rFonts w:ascii="Arial" w:hAnsi="Arial" w:cs="Arial"/>
          <w:i/>
          <w:sz w:val="24"/>
          <w:szCs w:val="24"/>
        </w:rPr>
        <w:t>La redacción de la letra b), sin embargo, podría mejorarse con la integración de una especificación igualmente extraída de la parte expositiva de la Directiva; en particular, del considerando decimocuarto, en el que se precisa que los conocimientos o información deben tener valor comercial ''.Ya sea real o potencial". Se sugiere, por tanto, añadir esta precisión en la citada letra b).</w:t>
      </w:r>
      <w:r w:rsidRPr="00614F2F">
        <w:rPr>
          <w:rFonts w:ascii="Arial" w:hAnsi="Arial" w:cs="Arial"/>
          <w:sz w:val="24"/>
          <w:szCs w:val="24"/>
        </w:rPr>
        <w:t>”</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B) Artículo 2: Obtención, utilización y revelación lícitas de secretos  empresariales</w:t>
      </w:r>
    </w:p>
    <w:p w:rsidR="001201A2" w:rsidRPr="001201A2" w:rsidRDefault="001201A2" w:rsidP="001201A2">
      <w:pPr>
        <w:numPr>
          <w:ilvl w:val="0"/>
          <w:numId w:val="21"/>
        </w:numPr>
        <w:spacing w:before="240" w:after="240"/>
        <w:jc w:val="both"/>
        <w:rPr>
          <w:rFonts w:ascii="Arial" w:hAnsi="Arial" w:cs="Arial"/>
          <w:b/>
          <w:sz w:val="24"/>
          <w:szCs w:val="24"/>
          <w:lang w:val="es-ES_tradnl"/>
        </w:rPr>
      </w:pPr>
      <w:r w:rsidRPr="001201A2">
        <w:rPr>
          <w:rFonts w:ascii="Arial" w:hAnsi="Arial" w:cs="Arial"/>
          <w:b/>
          <w:sz w:val="24"/>
          <w:szCs w:val="24"/>
          <w:lang w:val="es-ES_tradnl"/>
        </w:rPr>
        <w:t>Artículo 2.1: Obtención lícita de secretos empresariales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lastRenderedPageBreak/>
        <w:t>El apartado 1 del artículo 2 del Anteproyecto reproduce los cuatro supuestos en los que, de acuerdo con el artículo 3.1 de la Directiva, la obtención de información constitutiva de un secreto empresarial debe considerarse lícita. Entre ellos, la letra c) se refiere a la obtenida mediante "el ejercicio del derecho de los trabajadores y los representantes de los trabajadores a ser informados y consultados, de conformidad con la legislación y prácticas vigentes". Pretende así el Anteproyecto incorporar lo establecido en la letra c) del artículo 3.1 de la Directiva que, sin embargo, presenta con el texto proyectado una diferencia de relieve, en la medida en que aquél se refiere al citado derecho de los trabajadores "de conformidad con el Derecho de la Unión y el Derecho o las prácticas nacionales".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A diferencia de lo observado en el apartado anterior en relación con los artículos 2.2 y 2.3 del Anteproyecto, el tenor literal del artículo 2.1 podría considerarse respetuoso de las previsiones de la Directiva por una circunstancia particular, pues la regulación comunitaria de estos derechos de información y consulta de los trabajadores debe adoptar, con arreglo a la base jurídica contenida en el artículo 153.2.b) del Tratado de Funcionamiento de la Unión Europea, la forma de prescripciones mínimas por vía de directivas; por lo que, en la medida en que éstas deben necesariamente incorporarse a la legislación nacional mediante su correspondiente transposición, su contenido debería estar integrado en el de esa "legislación" a la que hace genéricamente referencia el artículo 2.1.c) del Anteproyecto.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Por esta razón, la redacción de este precepto no es objeto de una observación esencial. Ahora bien, pese a ello, en orden a garantizar una reproducción más fiel del texto de la Directiva 2016/943 y para evitar desajustes que pudieran derivar, por ejemplo, de una deficiente incorporación de las citadas directivas en materia laboral, cabe proponer que el artículo del Anteproyecto haga en este punto una referencia expresa al Derecho de  la Unión y a la legislación y prácticas nacionales vigentes.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También el supuesto contemplado en la letra d) del artículo 2.1 tiene un contenido ligeramente diferente al de la letra correlativa del artículo 3.1 de la Directiva, al añadir, entre los supuestos de "cualquier otra actuación que, según las circunstancias del caso, resulte conforme con las prácticas comerciales leales", el caso concreto de "la transferencia o cesión y la licencia contractual del secreto empresarial, de acuerdo con el Capítulo fil". Esta precisión parece coherente de acuerdo con la opción legislativa de permitir la transmisibilidad de los secretos empresariales, y encaja dentro del supuesto contemplado con carácter general en el artículo 3.1.d) de la Directiva.</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numPr>
          <w:ilvl w:val="0"/>
          <w:numId w:val="21"/>
        </w:numPr>
        <w:spacing w:before="240" w:after="240"/>
        <w:jc w:val="both"/>
        <w:rPr>
          <w:rFonts w:ascii="Arial" w:hAnsi="Arial" w:cs="Arial"/>
          <w:b/>
          <w:sz w:val="24"/>
          <w:szCs w:val="24"/>
          <w:lang w:val="es-ES_tradnl"/>
        </w:rPr>
      </w:pPr>
      <w:r w:rsidRPr="001201A2">
        <w:rPr>
          <w:rFonts w:ascii="Arial" w:hAnsi="Arial" w:cs="Arial"/>
          <w:b/>
          <w:sz w:val="24"/>
          <w:szCs w:val="24"/>
          <w:lang w:val="es-ES_tradnl"/>
        </w:rPr>
        <w:lastRenderedPageBreak/>
        <w:t>Artículo 2.3: Supuestos en que no procede el ejercicio de las acciones y medidas previstas en la ley</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El apartado 3 del artículo 2 contempla una serie de supuestos de actos lícitos de obtención, utilización o revelación de secretos empresariales, en atención a distintas circunstancias que, con carácter de excepción, enumera el artículo 5 de la Directiva. Su incorporación al ordenamiento ha sido objeto de una observación esencial que afecta a la redacción de las letras a), c) y d) del citado artículo 2.3 de la norma proyectada, observación que debe darse aquí por reproducida. A ella cabe añadir algunas consideraciones en relación con lo dispuesto en la letra b) del mismo precepto.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El artículo 2.3.b) del Anteproyecto se refiere a los denunciantes, también llamados lanzadores de alertas o </w:t>
      </w:r>
      <w:proofErr w:type="spellStart"/>
      <w:r w:rsidRPr="00614F2F">
        <w:rPr>
          <w:rFonts w:ascii="Arial" w:hAnsi="Arial" w:cs="Arial"/>
          <w:sz w:val="24"/>
          <w:szCs w:val="24"/>
        </w:rPr>
        <w:t>whistleblowers</w:t>
      </w:r>
      <w:proofErr w:type="spellEnd"/>
      <w:r w:rsidRPr="00614F2F">
        <w:rPr>
          <w:rFonts w:ascii="Arial" w:hAnsi="Arial" w:cs="Arial"/>
          <w:sz w:val="24"/>
          <w:szCs w:val="24"/>
        </w:rPr>
        <w:t>, contra los que no cabe el ejercicio de las acciones ni la adopción de las medidas previstas en la ley cuando actúen "</w:t>
      </w:r>
      <w:r w:rsidRPr="00614F2F">
        <w:rPr>
          <w:rFonts w:ascii="Arial" w:hAnsi="Arial" w:cs="Arial"/>
          <w:i/>
          <w:sz w:val="24"/>
          <w:szCs w:val="24"/>
        </w:rPr>
        <w:t>con la finalidad de descubrir, en defensa del interés general, alguna falta, irregularidad o actividad ilegal que guarden relación directa con dicho secreto empresarial</w:t>
      </w:r>
      <w:r w:rsidRPr="00614F2F">
        <w:rPr>
          <w:rFonts w:ascii="Arial" w:hAnsi="Arial" w:cs="Arial"/>
          <w:sz w:val="24"/>
          <w:szCs w:val="24"/>
        </w:rPr>
        <w:t>".</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El Anteproyecto reproduce en este punto lo establecido en el artículo 5.b) de la Directiva, añadiendo la precisión de que lo revelado "</w:t>
      </w:r>
      <w:r w:rsidRPr="00614F2F">
        <w:rPr>
          <w:rFonts w:ascii="Arial" w:hAnsi="Arial" w:cs="Arial"/>
          <w:i/>
          <w:sz w:val="24"/>
          <w:szCs w:val="24"/>
        </w:rPr>
        <w:t>guarde relación directa con dicho secreto empresarial</w:t>
      </w:r>
      <w:r w:rsidRPr="00614F2F">
        <w:rPr>
          <w:rFonts w:ascii="Arial" w:hAnsi="Arial" w:cs="Arial"/>
          <w:sz w:val="24"/>
          <w:szCs w:val="24"/>
        </w:rPr>
        <w:t>". A pesar del carácter limitativo de este último inciso, no contemplado en el artículo 5 de la Directiva, el considerando vigésimo sí hace referencia a ese requisito, por lo que puede entenderse una adición meramente explicativa del contenido del supuesto, lógicamente derivable de su significado finalista.</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La Comisión Nacional de los Mercados y la Competencia ha criticado en su informe al Anteproyecto que éste no </w:t>
      </w:r>
      <w:r w:rsidR="00EC66D0" w:rsidRPr="00EC66D0">
        <w:rPr>
          <w:rFonts w:ascii="Arial" w:hAnsi="Arial" w:cs="Arial"/>
          <w:sz w:val="24"/>
          <w:szCs w:val="24"/>
        </w:rPr>
        <w:t>garantice</w:t>
      </w:r>
      <w:r w:rsidRPr="00614F2F">
        <w:rPr>
          <w:rFonts w:ascii="Arial" w:hAnsi="Arial" w:cs="Arial"/>
          <w:sz w:val="24"/>
          <w:szCs w:val="24"/>
        </w:rPr>
        <w:t xml:space="preserve"> la confidencialidad de la identidad de estos denunciantes "</w:t>
      </w:r>
      <w:r w:rsidRPr="00614F2F">
        <w:rPr>
          <w:rFonts w:ascii="Arial" w:hAnsi="Arial" w:cs="Arial"/>
          <w:i/>
          <w:sz w:val="24"/>
          <w:szCs w:val="24"/>
        </w:rPr>
        <w:t xml:space="preserve">pese a </w:t>
      </w:r>
      <w:r w:rsidR="00EC66D0" w:rsidRPr="00614F2F">
        <w:rPr>
          <w:rFonts w:ascii="Arial" w:hAnsi="Arial" w:cs="Arial"/>
          <w:i/>
          <w:sz w:val="24"/>
          <w:szCs w:val="24"/>
        </w:rPr>
        <w:t>l</w:t>
      </w:r>
      <w:r w:rsidRPr="00614F2F">
        <w:rPr>
          <w:rFonts w:ascii="Arial" w:hAnsi="Arial" w:cs="Arial"/>
          <w:i/>
          <w:sz w:val="24"/>
          <w:szCs w:val="24"/>
        </w:rPr>
        <w:t>o delicado de su situación, especialmente en aquellos supuestos en que pueda existir una relación laboral</w:t>
      </w:r>
      <w:r w:rsidRPr="00614F2F">
        <w:rPr>
          <w:rFonts w:ascii="Arial" w:hAnsi="Arial" w:cs="Arial"/>
          <w:sz w:val="24"/>
          <w:szCs w:val="24"/>
        </w:rPr>
        <w:t>", y dado que "</w:t>
      </w:r>
      <w:r w:rsidRPr="00614F2F">
        <w:rPr>
          <w:rFonts w:ascii="Arial" w:hAnsi="Arial" w:cs="Arial"/>
          <w:i/>
          <w:sz w:val="24"/>
          <w:szCs w:val="24"/>
        </w:rPr>
        <w:t>en otros supuestos contemplados por el ordenamiento jurídico (blanqueo de capitales...) queda garantizada la confidencialidad del sujeto denunciante, por lo que parece razonable que al menos se fundamenten las razones que explicarían por qué no se opta por esa protección</w:t>
      </w:r>
      <w:r w:rsidRPr="00614F2F">
        <w:rPr>
          <w:rFonts w:ascii="Arial" w:hAnsi="Arial" w:cs="Arial"/>
          <w:sz w:val="24"/>
          <w:szCs w:val="24"/>
        </w:rPr>
        <w:t>". Añade también que las denuncias de conductas anticompetitivas "</w:t>
      </w:r>
      <w:r w:rsidRPr="00614F2F">
        <w:rPr>
          <w:rFonts w:ascii="Arial" w:hAnsi="Arial" w:cs="Arial"/>
          <w:i/>
          <w:sz w:val="24"/>
          <w:szCs w:val="24"/>
        </w:rPr>
        <w:t>seguirían rigiéndose por su normativa sectorial, otorgándose al denunciante las garantías que se le atribuyen por la normativa específica de defensa de la competencia</w:t>
      </w:r>
      <w:r w:rsidRPr="00614F2F">
        <w:rPr>
          <w:rFonts w:ascii="Arial" w:hAnsi="Arial" w:cs="Arial"/>
          <w:sz w:val="24"/>
          <w:szCs w:val="24"/>
        </w:rPr>
        <w:t>".</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El Consejo de Estado comparte la valoración de esta observación que realizan los órganos proponentes en la Memoria que acompaña al Anteproyecto, al señalar que "</w:t>
      </w:r>
      <w:r w:rsidRPr="00614F2F">
        <w:rPr>
          <w:rFonts w:ascii="Arial" w:hAnsi="Arial" w:cs="Arial"/>
          <w:i/>
          <w:sz w:val="24"/>
          <w:szCs w:val="24"/>
        </w:rPr>
        <w:t xml:space="preserve">los principios de </w:t>
      </w:r>
      <w:proofErr w:type="spellStart"/>
      <w:r w:rsidRPr="00614F2F">
        <w:rPr>
          <w:rFonts w:ascii="Arial" w:hAnsi="Arial" w:cs="Arial"/>
          <w:i/>
          <w:sz w:val="24"/>
          <w:szCs w:val="24"/>
        </w:rPr>
        <w:t>better</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regulation</w:t>
      </w:r>
      <w:proofErr w:type="spellEnd"/>
      <w:r w:rsidRPr="00614F2F">
        <w:rPr>
          <w:rFonts w:ascii="Arial" w:hAnsi="Arial" w:cs="Arial"/>
          <w:i/>
          <w:sz w:val="24"/>
          <w:szCs w:val="24"/>
        </w:rPr>
        <w:t xml:space="preserve">, simplificación y mínima intervención legislativa aconsejan realizar una interpretación sistemática del ordenamiento. Por ello, los operadores deberán tener en cuenta, además de la nueva regulación, el ordenamiento existente no modificado por el presente </w:t>
      </w:r>
      <w:r w:rsidRPr="00614F2F">
        <w:rPr>
          <w:rFonts w:ascii="Arial" w:hAnsi="Arial" w:cs="Arial"/>
          <w:i/>
          <w:sz w:val="24"/>
          <w:szCs w:val="24"/>
        </w:rPr>
        <w:lastRenderedPageBreak/>
        <w:t>APL.  En  este sentido,  además  de  las normas  citadas  por la propia  CNMC, puede recordarse el art. 31 bis CP -por cuanto establece obligaciones a las empresas- o el art. 24 del proyecto de LO de protección de datos de carácter personal (BOCG 24.11.2017) sobre sistemas e información de denuncias</w:t>
      </w:r>
      <w:r w:rsidRPr="00614F2F">
        <w:rPr>
          <w:rFonts w:ascii="Arial" w:hAnsi="Arial" w:cs="Arial"/>
          <w:sz w:val="24"/>
          <w:szCs w:val="24"/>
        </w:rPr>
        <w:t xml:space="preserve">". La confidencialidad de esa identidad quedaría, en efecto, suficientemente garantizada con normas ya existentes en nuestro ordenamiento jurídico; sin embargo, dada la importancia, sensibilidad y actualidad de la materia (el pasado 23 de abril la Comisión introdujo una propuesta de Directiva para garantizar esta protección de los </w:t>
      </w:r>
      <w:proofErr w:type="spellStart"/>
      <w:r w:rsidRPr="00614F2F">
        <w:rPr>
          <w:rFonts w:ascii="Arial" w:hAnsi="Arial" w:cs="Arial"/>
          <w:sz w:val="24"/>
          <w:szCs w:val="24"/>
        </w:rPr>
        <w:t>whistleblowers</w:t>
      </w:r>
      <w:proofErr w:type="spellEnd"/>
      <w:r w:rsidRPr="00614F2F">
        <w:rPr>
          <w:rFonts w:ascii="Arial" w:hAnsi="Arial" w:cs="Arial"/>
          <w:sz w:val="24"/>
          <w:szCs w:val="24"/>
        </w:rPr>
        <w:t xml:space="preserve"> a nivel europeo), sería oportuno hacer una referencia a los vigentes instrumentos de tutela en la Exposición de Motivos del Anteproyecto.</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r w:rsidR="0019030E">
        <w:rPr>
          <w:rFonts w:ascii="Arial" w:hAnsi="Arial" w:cs="Arial"/>
          <w:sz w:val="24"/>
          <w:szCs w:val="24"/>
          <w:u w:val="single"/>
        </w:rPr>
        <w:t xml:space="preserve"> en todo salvo la referencia a introducir en la Exposición de Motivos de los vigentes instrumentos de tutela de los “</w:t>
      </w:r>
      <w:proofErr w:type="spellStart"/>
      <w:r w:rsidR="0019030E" w:rsidRPr="0075173F">
        <w:rPr>
          <w:rFonts w:ascii="Arial" w:hAnsi="Arial" w:cs="Arial"/>
          <w:sz w:val="24"/>
          <w:szCs w:val="24"/>
        </w:rPr>
        <w:t>whistleblowers</w:t>
      </w:r>
      <w:proofErr w:type="spellEnd"/>
      <w:r w:rsidR="0019030E">
        <w:rPr>
          <w:rFonts w:ascii="Arial" w:hAnsi="Arial" w:cs="Arial"/>
          <w:sz w:val="24"/>
          <w:szCs w:val="24"/>
        </w:rPr>
        <w:t xml:space="preserve">”. En efecto, en la adaptación del APL al Dictamen 401/2018 se ha optado por no ampliar en este punto la Exposición de Motivos para no introducir en el texto una mayor complejidad que pueda dificultar su comprensión </w:t>
      </w:r>
      <w:r w:rsidR="003D3D45">
        <w:rPr>
          <w:rFonts w:ascii="Arial" w:hAnsi="Arial" w:cs="Arial"/>
          <w:sz w:val="24"/>
          <w:szCs w:val="24"/>
        </w:rPr>
        <w:t>toda vez que ésta no</w:t>
      </w:r>
      <w:r w:rsidR="001D6048">
        <w:rPr>
          <w:rFonts w:ascii="Arial" w:hAnsi="Arial" w:cs="Arial"/>
          <w:sz w:val="24"/>
          <w:szCs w:val="24"/>
        </w:rPr>
        <w:t xml:space="preserve"> es</w:t>
      </w:r>
      <w:r w:rsidR="0019030E">
        <w:rPr>
          <w:rFonts w:ascii="Arial" w:hAnsi="Arial" w:cs="Arial"/>
          <w:sz w:val="24"/>
          <w:szCs w:val="24"/>
        </w:rPr>
        <w:t xml:space="preserve"> una cuestión nuclear de la regulación proyectada</w:t>
      </w:r>
      <w:r w:rsidR="001D6048">
        <w:rPr>
          <w:rFonts w:ascii="Arial" w:hAnsi="Arial" w:cs="Arial"/>
          <w:sz w:val="24"/>
          <w:szCs w:val="24"/>
        </w:rPr>
        <w:t xml:space="preserve"> y</w:t>
      </w:r>
      <w:r w:rsidR="0019030E">
        <w:rPr>
          <w:rFonts w:ascii="Arial" w:hAnsi="Arial" w:cs="Arial"/>
          <w:sz w:val="24"/>
          <w:szCs w:val="24"/>
        </w:rPr>
        <w:t xml:space="preserve"> los vigentes instrumentos garantes de la confidencialidad de los </w:t>
      </w:r>
      <w:proofErr w:type="spellStart"/>
      <w:r w:rsidR="0019030E" w:rsidRPr="0075173F">
        <w:rPr>
          <w:rFonts w:ascii="Arial" w:hAnsi="Arial" w:cs="Arial"/>
          <w:sz w:val="24"/>
          <w:szCs w:val="24"/>
        </w:rPr>
        <w:t>whistleblowers</w:t>
      </w:r>
      <w:proofErr w:type="spellEnd"/>
      <w:r w:rsidR="0019030E">
        <w:rPr>
          <w:rFonts w:ascii="Arial" w:hAnsi="Arial" w:cs="Arial"/>
          <w:sz w:val="24"/>
          <w:szCs w:val="24"/>
        </w:rPr>
        <w:t xml:space="preserve"> son múltiples y no podrían recogerse con la exhaustividad que precisa una Exposición de Motivos en tanto no sea aprobado un régimen jurídico ad hoc como es el pretendido por la propuesta de Directiva señalada por el propio Consejo de Estado.</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C) Artículo 3: Violación de secretos empresariales</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mc:AlternateContent>
          <mc:Choice Requires="wps">
            <w:drawing>
              <wp:anchor distT="0" distB="0" distL="114300" distR="114300" simplePos="0" relativeHeight="251661312" behindDoc="0" locked="0" layoutInCell="1" allowOverlap="1" wp14:anchorId="693C6D97" wp14:editId="4E451AAA">
                <wp:simplePos x="0" y="0"/>
                <wp:positionH relativeFrom="page">
                  <wp:posOffset>7525385</wp:posOffset>
                </wp:positionH>
                <wp:positionV relativeFrom="paragraph">
                  <wp:posOffset>1161415</wp:posOffset>
                </wp:positionV>
                <wp:extent cx="0" cy="0"/>
                <wp:effectExtent l="10160" t="518160" r="8890" b="517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2.55pt,91.45pt" to="592.55pt,9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03LhHAIAAEUEAAAOAAAAZHJzL2Uyb0RvYy54bWysU8GO2yAQvVfqPyDuie3UTRMrzqqyk162 baTdfgABHKNiBgGJE1X99wKOo2x7Wa3qAx6Y4fFm5s3q4dxJdOLGClAlzqYpRlxRYEIdSvzjeTtZ YGQdUYxIULzEF27xw/r9u1WvCz6DFiTjBnkQZYtel7h1ThdJYmnLO2KnoLnyzgZMR5zfmkPCDOk9 eieTWZrOkx4M0wYot9af1oMTryN+03DqvjeN5Q7JEntuLq4mrvuwJusVKQ6G6FbQKw3yBhYdEco/ eoOqiSPoaMQ/UJ2gBiw0bkqhS6BpBOUxB59Nlv6VzVNLNI+5+OJYfSuT/X+w9NtpZ5BgJc4xUqTz Lap8o6gDg0z4oTzUqNe28KGV2pmQJT2rJ/0I9KdFCqqWqAOPXJ8v2gNk4Uby4krYWO1f2vdfgfkY cnQQC3ZuTBcgfSnQOfblcusLPztEh0M6niakGK9oY90XDh0KRomlUKFYpCCnR+sCBVKMIeFYwVZI GRsuFepLvMzyPF6wIAULzhBmzWFfSYNOJEgmfjEf77kPC8g1se0QF12DmAwcFYuvtJywzdV2RMjB 9qykCg/57DzPqzWI5dcyXW4Wm0U+yWfzzSRP63ryeVvlk/k2+/Sx/lBXVZ39DpyzvGgFY1wF2qNw s/x1wriO0CC5m3Rv9UleosdCerLjP5KO7Q0dHbSxB3bZmbHtXqsx+DpXYRju996+n/71HwAAAP// AwBQSwMEFAAGAAgAAAAhAFZTB9fcAAAADQEAAA8AAABkcnMvZG93bnJldi54bWxMj8FOwzAQRO9I /IO1SNyok0qUEOJUqAoXxAECH7CNt4nV2I5itwn9erYCid52Zkezb4v1bHtxpDEY7xSkiwQEucZr 41oFX58vdxmIENFp7L0jBd8UYF1eXxWYaz+5DzrWsRVc4kKOCroYh1zK0HRkMSz8QI53Oz9ajCzH VuoRJy63vVwmyUpaNI4vdDjQpqNmXx+sgvr9bVq9nk5T9VAbDDGarqo2St3ezM9PICLN8T8MZ3xG h5KZtv7gdBA96zS7TznLU7Z8BHGO/FrbP0uWhbz8ovwBAAD//wMAUEsBAi0AFAAGAAgAAAAhALaD OJL+AAAA4QEAABMAAAAAAAAAAAAAAAAAAAAAAFtDb250ZW50X1R5cGVzXS54bWxQSwECLQAUAAYA CAAAACEAOP0h/9YAAACUAQAACwAAAAAAAAAAAAAAAAAvAQAAX3JlbHMvLnJlbHNQSwECLQAUAAYA CAAAACEAUtNy4RwCAABFBAAADgAAAAAAAAAAAAAAAAAuAgAAZHJzL2Uyb0RvYy54bWxQSwECLQAU AAYACAAAACEAVlMH19wAAAANAQAADwAAAAAAAAAAAAAAAAB2BAAAZHJzL2Rvd25yZXYueG1sUEsF BgAAAAAEAAQA8wAAAH8FAAAAAA== " strokeweight=".72pt">
                <w10:wrap anchorx="page"/>
              </v:line>
            </w:pict>
          </mc:Fallback>
        </mc:AlternateContent>
      </w:r>
      <w:r w:rsidRPr="00614F2F">
        <w:rPr>
          <w:rFonts w:ascii="Arial" w:hAnsi="Arial" w:cs="Arial"/>
          <w:sz w:val="24"/>
          <w:szCs w:val="24"/>
        </w:rPr>
        <w:t>El artículo 3 del Anteproyecto lleva a cabo una transposición completa y fiel del artículo 4, apartados 2, 3, 4 y 5, y del artículo 2.4 de la Directiva, a la que no cabe formular observaciones de relieve.</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Desde un punto de vista de estricta mejora formal de la redacción, no obstante, se sugiere incorporar, en el apartado 2, los siguientes cambios, que, pese a incurrir en cierta reiteración, podrían contribuir a aclarar que los supuestos allí previstos no tienen carácter acumulativo:</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mc:AlternateContent>
          <mc:Choice Requires="wps">
            <w:drawing>
              <wp:anchor distT="0" distB="0" distL="114300" distR="114300" simplePos="0" relativeHeight="251662336" behindDoc="0" locked="0" layoutInCell="1" allowOverlap="1" wp14:anchorId="30C1924F" wp14:editId="0D16BE96">
                <wp:simplePos x="0" y="0"/>
                <wp:positionH relativeFrom="page">
                  <wp:posOffset>7527925</wp:posOffset>
                </wp:positionH>
                <wp:positionV relativeFrom="paragraph">
                  <wp:posOffset>2562225</wp:posOffset>
                </wp:positionV>
                <wp:extent cx="0" cy="0"/>
                <wp:effectExtent l="12700" t="1553210" r="6350" b="155448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2.75pt,201.75pt" to="592.75pt,20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Y0xiHQIAAEUEAAAOAAAAZHJzL2Uyb0RvYy54bWysU8GO2yAQvVfqPyDuie3Eu5u14qwqO+ll 24202w8ggGNUzCAgcaKq/17AcZRtL1VVH/DADI83M2+WT6dOoiM3VoAqcTZNMeKKAhNqX+Jvb5vJ AiPriGJEguIlPnOLn1YfPyx7XfAZtCAZN8iDKFv0usStc7pIEktb3hE7Bc2VdzZgOuL81uwTZkjv 0TuZzNL0PunBMG2Acmv9aT048SriNw2n7qVpLHdIlthzc3E1cd2FNVktSbE3RLeCXmiQf2DREaH8 o1eomjiCDkb8AdUJasBC46YUugSaRlAec/DZZOlv2by2RPOYiy+O1dcy2f8HS78etwYJVuI5Rop0 vkWVbxR1YJAJPzQPNeq1LXxopbYmZElP6lU/A/1ukYKqJWrPI9e3s/YAWbiRvLsSNlb7l3b9F2A+ hhwcxIKdGtMFSF8KdIp9OV/7wk8O0eGQjqcJKcYr2lj3mUOHglFiKVQoFinI8dm6QIEUY0g4VrAR UsaGS4X6Eud3D7N4wYIULDhDmDX7XSUNOpIgmfjFfLznNiwg18S2Q1x0DWIycFAsvtJywtYX2xEh B9uzkio85LPzPC/WIJYfj+njerFe5JN8dr+e5GldTz5tqnxyv8ke7up5XVV19jNwzvKiFYxxFWiP ws3yvxPGZYQGyV2le61P8h49FtKTHf+RdGxv6OigjR2w89aMbfdajcGXuQrDcLv39u30r34BAAD/ /wMAUEsDBBQABgAIAAAAIQC0N3Tf3gAAAA0BAAAPAAAAZHJzL2Rvd25yZXYueG1sTI9BS8NAEIXv gv9hGcGb3U20UmI2RQuliCIaBT1usmMSzM6G7LaN/nqnKOht3pvHm2/y5eR6scMxdJ40JDMFAqn2 tqNGw8vz+mwBIkRD1vSeUMMnBlgWx0e5yazf0xPuytgILqGQGQ1tjEMmZahbdCbM/IDEu3c/OhNZ jo20o9lzuetlqtSldKYjvtCaAVct1h/l1mko1f3t6jW9U1X6tb5J3mjzSA8brU9PpusrEBGn+BeG Az6jQ8FMld+SDaJnnSzmc85quFDnPBwiP1b1a8kil/+/KL4BAAD//wMAUEsBAi0AFAAGAAgAAAAh ALaDOJL+AAAA4QEAABMAAAAAAAAAAAAAAAAAAAAAAFtDb250ZW50X1R5cGVzXS54bWxQSwECLQAU AAYACAAAACEAOP0h/9YAAACUAQAACwAAAAAAAAAAAAAAAAAvAQAAX3JlbHMvLnJlbHNQSwECLQAU AAYACAAAACEArGNMYh0CAABFBAAADgAAAAAAAAAAAAAAAAAuAgAAZHJzL2Uyb0RvYy54bWxQSwEC LQAUAAYACAAAACEAtDd0394AAAANAQAADwAAAAAAAAAAAAAAAAB3BAAAZHJzL2Rvd25yZXYueG1s UEsFBgAAAAAEAAQA8wAAAIIFAAAAAA== " strokeweight=".36pt">
                <w10:wrap anchorx="page"/>
              </v:line>
            </w:pict>
          </mc:Fallback>
        </mc:AlternateContent>
      </w:r>
      <w:r w:rsidRPr="00614F2F">
        <w:rPr>
          <w:rFonts w:ascii="Arial" w:hAnsi="Arial" w:cs="Arial"/>
          <w:i/>
          <w:sz w:val="24"/>
          <w:szCs w:val="24"/>
        </w:rPr>
        <w:t xml:space="preserve">"La utilización </w:t>
      </w:r>
      <w:r w:rsidRPr="00614F2F">
        <w:rPr>
          <w:rFonts w:ascii="Arial" w:hAnsi="Arial" w:cs="Arial"/>
          <w:sz w:val="24"/>
          <w:szCs w:val="24"/>
        </w:rPr>
        <w:t xml:space="preserve">o </w:t>
      </w:r>
      <w:r w:rsidRPr="00614F2F">
        <w:rPr>
          <w:rFonts w:ascii="Arial" w:hAnsi="Arial" w:cs="Arial"/>
          <w:i/>
          <w:sz w:val="24"/>
          <w:szCs w:val="24"/>
        </w:rPr>
        <w:t xml:space="preserve">revelación de un secreto empresarial se consideran ilícitas cuando, sin el consentimiento de su titular, las realice quien haya obtenido el secreto empresarial de forma ilícita, </w:t>
      </w:r>
      <w:r w:rsidRPr="00614F2F">
        <w:rPr>
          <w:rFonts w:ascii="Arial" w:hAnsi="Arial" w:cs="Arial"/>
          <w:i/>
          <w:sz w:val="24"/>
          <w:szCs w:val="24"/>
          <w:u w:val="single"/>
        </w:rPr>
        <w:t xml:space="preserve">quien </w:t>
      </w:r>
      <w:r w:rsidRPr="00614F2F">
        <w:rPr>
          <w:rFonts w:ascii="Arial" w:hAnsi="Arial" w:cs="Arial"/>
          <w:i/>
          <w:sz w:val="24"/>
          <w:szCs w:val="24"/>
        </w:rPr>
        <w:t xml:space="preserve">haya incumplido un acuerdo de confidencialidad </w:t>
      </w:r>
      <w:r w:rsidRPr="00614F2F">
        <w:rPr>
          <w:rFonts w:ascii="Arial" w:hAnsi="Arial" w:cs="Arial"/>
          <w:sz w:val="24"/>
          <w:szCs w:val="24"/>
        </w:rPr>
        <w:t xml:space="preserve">o </w:t>
      </w:r>
      <w:r w:rsidRPr="00614F2F">
        <w:rPr>
          <w:rFonts w:ascii="Arial" w:hAnsi="Arial" w:cs="Arial"/>
          <w:i/>
          <w:sz w:val="24"/>
          <w:szCs w:val="24"/>
        </w:rPr>
        <w:t xml:space="preserve">cualquier otra obligación de no revelar el secreto empresarial, </w:t>
      </w:r>
      <w:r w:rsidRPr="00614F2F">
        <w:rPr>
          <w:rFonts w:ascii="Arial" w:hAnsi="Arial" w:cs="Arial"/>
          <w:sz w:val="24"/>
          <w:szCs w:val="24"/>
        </w:rPr>
        <w:t xml:space="preserve">o </w:t>
      </w:r>
      <w:r w:rsidRPr="00614F2F">
        <w:rPr>
          <w:rFonts w:ascii="Arial" w:hAnsi="Arial" w:cs="Arial"/>
          <w:i/>
          <w:sz w:val="24"/>
          <w:szCs w:val="24"/>
          <w:u w:val="single"/>
        </w:rPr>
        <w:t xml:space="preserve">quien </w:t>
      </w:r>
      <w:r w:rsidRPr="00614F2F">
        <w:rPr>
          <w:rFonts w:ascii="Arial" w:hAnsi="Arial" w:cs="Arial"/>
          <w:i/>
          <w:sz w:val="24"/>
          <w:szCs w:val="24"/>
        </w:rPr>
        <w:t xml:space="preserve">haya incumplido una obligación contractual </w:t>
      </w:r>
      <w:r w:rsidRPr="00614F2F">
        <w:rPr>
          <w:rFonts w:ascii="Arial" w:hAnsi="Arial" w:cs="Arial"/>
          <w:sz w:val="24"/>
          <w:szCs w:val="24"/>
        </w:rPr>
        <w:t xml:space="preserve">o </w:t>
      </w:r>
      <w:r w:rsidRPr="00614F2F">
        <w:rPr>
          <w:rFonts w:ascii="Arial" w:hAnsi="Arial" w:cs="Arial"/>
          <w:i/>
          <w:sz w:val="24"/>
          <w:szCs w:val="24"/>
        </w:rPr>
        <w:t>de cualquier otra índole que limite la utilización del secreto empresarial".</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lastRenderedPageBreak/>
        <w:t>D) Capítulo III: El secreto empresarial como objeto del derecho de propiedad</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El Capítulo III del Anteproyecto aborda la vertiente patrimonial del secreto empresarial, regulando su transmisibilidad (artículo 4), los supuestos de cotitularidad (artículo 5), las licencias (artículo 6) y la responsabilidad del transmitente y licenciante (artículo 7). El contenido de este Capítulo -que no formaba parte de la propuesta inicial y que fue añadido en la primera versión del Anteproyecto a la vista de las observaciones formuladas en el trámite de audiencia pública- no tiene base en la Directiva, pero constituye un adecuado complemento de lo dispuesto en la misma, por lo que parece adecuado, por motivos de seguridad jurídica, su incorporación al texto de la proyectada Ley.</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La regulación propuesta está inspirada, como señala la Memoria, en los artículos 80, 82, 83 y 85 de la Ley de Patentes, con algunas peculiaridades, y rige exclusivamente en defecto de pacto, por lo que no reduce la autonomía de la voluntad de las partes, proporcionando, por el contrario, seguridad jurídica en caso de que dicha voluntad no haya sido expresada. Otros ordenamientos jurídicos también incorporan este tipo de normas sustantivas en las leyes de protección de los secretos empresariales (la </w:t>
      </w:r>
      <w:proofErr w:type="spellStart"/>
      <w:r w:rsidRPr="00614F2F">
        <w:rPr>
          <w:rFonts w:ascii="Arial" w:hAnsi="Arial" w:cs="Arial"/>
          <w:i/>
          <w:sz w:val="24"/>
          <w:szCs w:val="24"/>
        </w:rPr>
        <w:t>Uniform</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Trade</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Secrets</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Act</w:t>
      </w:r>
      <w:proofErr w:type="spellEnd"/>
      <w:r w:rsidRPr="00614F2F">
        <w:rPr>
          <w:rFonts w:ascii="Arial" w:hAnsi="Arial" w:cs="Arial"/>
          <w:sz w:val="24"/>
          <w:szCs w:val="24"/>
        </w:rPr>
        <w:t xml:space="preserve"> norteamericana, por ejemplo, prevé expresamente la cotitularidad de los secretos empresariales).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Cabe detenerse, en particular, en la redacción del artículo 7, relativo, según indica su título, a la </w:t>
      </w:r>
      <w:r w:rsidRPr="00614F2F">
        <w:rPr>
          <w:rFonts w:ascii="Arial" w:hAnsi="Arial" w:cs="Arial"/>
          <w:i/>
          <w:sz w:val="24"/>
          <w:szCs w:val="24"/>
        </w:rPr>
        <w:t>“responsabilidad del transmitente y licenciante del secreto empresarial”.</w:t>
      </w:r>
      <w:r w:rsidRPr="00614F2F">
        <w:rPr>
          <w:rFonts w:ascii="Arial" w:hAnsi="Arial" w:cs="Arial"/>
          <w:sz w:val="24"/>
          <w:szCs w:val="24"/>
        </w:rPr>
        <w:t xml:space="preserve"> Dispone el precepto que </w:t>
      </w:r>
      <w:r w:rsidRPr="00614F2F">
        <w:rPr>
          <w:rFonts w:ascii="Arial" w:hAnsi="Arial" w:cs="Arial"/>
          <w:i/>
          <w:sz w:val="24"/>
          <w:szCs w:val="24"/>
        </w:rPr>
        <w:t xml:space="preserve">“quien transmita a título oneroso un secreto empresarial u otorgue una licencia sobre el mismo responderá, salvo pacto en contrario, si posteriormente se declara que carecía de la titularidad o de las facultades necesarias para la realización del negocio de que se trate. El transmitente o licenciante responderá siempre, cuando hubiere actuado de mala fe”. </w:t>
      </w:r>
      <w:r w:rsidRPr="00614F2F">
        <w:rPr>
          <w:rFonts w:ascii="Arial" w:hAnsi="Arial" w:cs="Arial"/>
          <w:sz w:val="24"/>
          <w:szCs w:val="24"/>
        </w:rPr>
        <w:t xml:space="preserve">En primer lugar, entiende el Consejo de Estado que el título del precepto no debería referirse al </w:t>
      </w:r>
      <w:r w:rsidRPr="00614F2F">
        <w:rPr>
          <w:rFonts w:ascii="Arial" w:hAnsi="Arial" w:cs="Arial"/>
          <w:i/>
          <w:sz w:val="24"/>
          <w:szCs w:val="24"/>
        </w:rPr>
        <w:t>“transmitente y licenciante”</w:t>
      </w:r>
      <w:r w:rsidRPr="00614F2F">
        <w:rPr>
          <w:rFonts w:ascii="Arial" w:hAnsi="Arial" w:cs="Arial"/>
          <w:sz w:val="24"/>
          <w:szCs w:val="24"/>
        </w:rPr>
        <w:t xml:space="preserve">, pues en realidad se trata de un </w:t>
      </w:r>
      <w:r w:rsidRPr="00614F2F">
        <w:rPr>
          <w:rFonts w:ascii="Arial" w:hAnsi="Arial" w:cs="Arial"/>
          <w:i/>
          <w:sz w:val="24"/>
          <w:szCs w:val="24"/>
        </w:rPr>
        <w:t>non domino</w:t>
      </w:r>
      <w:r w:rsidRPr="00614F2F">
        <w:rPr>
          <w:rFonts w:ascii="Arial" w:hAnsi="Arial" w:cs="Arial"/>
          <w:sz w:val="24"/>
          <w:szCs w:val="24"/>
        </w:rPr>
        <w:t xml:space="preserve">. Sería más correcta, por tanto, una rúbrica con el siguiente tenor: </w:t>
      </w:r>
      <w:r w:rsidRPr="00614F2F">
        <w:rPr>
          <w:rFonts w:ascii="Arial" w:hAnsi="Arial" w:cs="Arial"/>
          <w:i/>
          <w:sz w:val="24"/>
          <w:szCs w:val="24"/>
        </w:rPr>
        <w:t>“Transmisión o licencia sin titularidad o facultades”.</w:t>
      </w:r>
      <w:r w:rsidRPr="00614F2F">
        <w:rPr>
          <w:rFonts w:ascii="Arial" w:hAnsi="Arial" w:cs="Arial"/>
          <w:sz w:val="24"/>
          <w:szCs w:val="24"/>
        </w:rPr>
        <w:t xml:space="preserve"> En coherencia con lo anterior, el último inciso del precepto debería simplemente indicar </w:t>
      </w:r>
      <w:r w:rsidRPr="00614F2F">
        <w:rPr>
          <w:rFonts w:ascii="Arial" w:hAnsi="Arial" w:cs="Arial"/>
          <w:i/>
          <w:sz w:val="24"/>
          <w:szCs w:val="24"/>
        </w:rPr>
        <w:t>“Responderá siempre cuando hubiera actuado de mala fe”</w:t>
      </w:r>
      <w:r w:rsidRPr="00614F2F">
        <w:rPr>
          <w:rFonts w:ascii="Arial" w:hAnsi="Arial" w:cs="Arial"/>
          <w:sz w:val="24"/>
          <w:szCs w:val="24"/>
        </w:rPr>
        <w:t xml:space="preserve">, evitando así la referencia al transmitente o licenciante.  En segundo lugar, se sugiere completar el precepto para indicar frente a quién y de qué debe responderse: </w:t>
      </w:r>
      <w:r w:rsidRPr="00614F2F">
        <w:rPr>
          <w:rFonts w:ascii="Arial" w:hAnsi="Arial" w:cs="Arial"/>
          <w:i/>
          <w:sz w:val="24"/>
          <w:szCs w:val="24"/>
        </w:rPr>
        <w:t>“… responderá, salvo pacto en contrario, frente al adquirente de los daños que le cause, si posteriormente…”.</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E) Artículo 8: Defensa de los secretos empresariales</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w:lastRenderedPageBreak/>
        <mc:AlternateContent>
          <mc:Choice Requires="wps">
            <w:drawing>
              <wp:anchor distT="0" distB="0" distL="114300" distR="114300" simplePos="0" relativeHeight="251663360" behindDoc="0" locked="0" layoutInCell="1" allowOverlap="1" wp14:anchorId="2CF178D9" wp14:editId="46B5E4FD">
                <wp:simplePos x="0" y="0"/>
                <wp:positionH relativeFrom="page">
                  <wp:posOffset>7527925</wp:posOffset>
                </wp:positionH>
                <wp:positionV relativeFrom="paragraph">
                  <wp:posOffset>2831465</wp:posOffset>
                </wp:positionV>
                <wp:extent cx="0" cy="0"/>
                <wp:effectExtent l="12700" t="1078865" r="6350" b="107251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2.75pt,222.95pt" to="592.75pt,2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jsKHAIAAEUEAAAOAAAAZHJzL2Uyb0RvYy54bWysU8GO2yAQvVfqPyDuie3UyWatOKvKTnrZ tpF2+wEEcIyKAQGJE1X99w44jrLtparqAx6Y4fFm5s3q6dxJdOLWCa1KnE1TjLiimgl1KPG31+1k iZHzRDEiteIlvnCHn9bv3616U/CZbrVk3CIAUa7oTYlb702RJI62vCNuqg1X4Gy07YiHrT0kzJIe 0DuZzNJ0kfTaMmM15c7BaT048TriNw2n/mvTOO6RLDFw83G1cd2HNVmvSHGwxLSCXmmQf2DREaHg 0RtUTTxBRyv+gOoEtdrpxk+p7hLdNILymANkk6W/ZfPSEsNjLlAcZ25lcv8Pln457SwSrMRzjBTp oEUVNIp6bZENPzQPNeqNKyC0UjsbsqRn9WKeNf3ukNJVS9SBR66vFwMAWbiRvLkSNs7AS/v+s2YQ Q45ex4KdG9sFSCgFOse+XG594WeP6HBIx9OEFOMVY53/xHWHglFiKVQoFinI6dn5QIEUY0g4Vnor pIwNlwr1Jc7nD7N4wWkpWHCGMGcP+0padCJBMvGL+YDnPiwg18S1Q1x0DWKy+qhYfKXlhG2utidC Djawkio8BNkBz6s1iOXHY/q4WW6W+SSfLTaTPK3rycdtlU8W2+xhXn+oq6rOfgbOWV60gjGuAu1R uFn+d8K4jtAguZt0b/VJ3qLHQgLZ8R9Jx/aGjg7a2Gt22dmx7aDVGHydqzAM93uw76d//QsAAP// AwBQSwMEFAAGAAgAAAAhAAjFcOnfAAAADQEAAA8AAABkcnMvZG93bnJldi54bWxMj1FLwzAUhd8F /0O4A99c0rLKrE2HDsYQZbgq6GPa3LXF5qY02Vb99WYouMdz7se552SL0XTsgINrLUmIpgIYUmV1 S7WEt9fV9RyY84q06iyhhC90sMgvLzKVanukLR4KX7MQQi5VEhrv+5RzVzVolJvaHincdnYwygc5 1FwP6hjCTcdjIW64US2FD43qcdlg9VnsjYRCPD8u3+MnUcbfq4fog9YvtFlLeTUZ7++AeRz9Pwyn +qE65KFTafekHeuCjuZJElgJs1lyC+yE/Frln8XzjJ+vyH8AAAD//wMAUEsBAi0AFAAGAAgAAAAh ALaDOJL+AAAA4QEAABMAAAAAAAAAAAAAAAAAAAAAAFtDb250ZW50X1R5cGVzXS54bWxQSwECLQAU AAYACAAAACEAOP0h/9YAAACUAQAACwAAAAAAAAAAAAAAAAAvAQAAX3JlbHMvLnJlbHNQSwECLQAU AAYACAAAACEAQQo7ChwCAABFBAAADgAAAAAAAAAAAAAAAAAuAgAAZHJzL2Uyb0RvYy54bWxQSwEC LQAUAAYACAAAACEACMVw6d8AAAANAQAADwAAAAAAAAAAAAAAAAB2BAAAZHJzL2Rvd25yZXYueG1s UEsFBgAAAAAEAAQA8wAAAIIFAAAAAA== " strokeweight=".36pt">
                <w10:wrap anchorx="page"/>
              </v:line>
            </w:pict>
          </mc:Fallback>
        </mc:AlternateContent>
      </w:r>
      <w:r w:rsidRPr="00614F2F">
        <w:rPr>
          <w:rFonts w:ascii="Arial" w:hAnsi="Arial" w:cs="Arial"/>
          <w:sz w:val="24"/>
          <w:szCs w:val="24"/>
        </w:rPr>
        <w:t xml:space="preserve">El artículo 8 del Anteproyecto establece que las acciones y la adopción de las medidas correspondientes de protección del secreto empresarial podrán ejercitarse y exigirse, respectivamente, contra los infractores del mismo (párrafo primero), entendiendo como tales, a los efectos de la Ley y de conformidad con la definición contenida en el artículo 2.3 de la Directiva, </w:t>
      </w:r>
      <w:r w:rsidRPr="00614F2F">
        <w:rPr>
          <w:rFonts w:ascii="Arial" w:hAnsi="Arial" w:cs="Arial"/>
          <w:i/>
          <w:sz w:val="24"/>
          <w:szCs w:val="24"/>
        </w:rPr>
        <w:t xml:space="preserve">"toda persona física </w:t>
      </w:r>
      <w:r w:rsidRPr="00614F2F">
        <w:rPr>
          <w:rFonts w:ascii="Arial" w:hAnsi="Arial" w:cs="Arial"/>
          <w:sz w:val="24"/>
          <w:szCs w:val="24"/>
        </w:rPr>
        <w:t xml:space="preserve">o </w:t>
      </w:r>
      <w:r w:rsidRPr="00614F2F">
        <w:rPr>
          <w:rFonts w:ascii="Arial" w:hAnsi="Arial" w:cs="Arial"/>
          <w:i/>
          <w:sz w:val="24"/>
          <w:szCs w:val="24"/>
        </w:rPr>
        <w:t xml:space="preserve">jurídica  que realice  cualquier  acto de violación de los enunciados en el artículo 3" </w:t>
      </w:r>
      <w:r w:rsidRPr="00614F2F">
        <w:rPr>
          <w:rFonts w:ascii="Arial" w:hAnsi="Arial" w:cs="Arial"/>
          <w:sz w:val="24"/>
          <w:szCs w:val="24"/>
        </w:rPr>
        <w:t>(párrafo  segundo).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El  precepto  aprovecha   también  para  introducir  la  noción    del </w:t>
      </w:r>
      <w:r w:rsidRPr="00614F2F">
        <w:rPr>
          <w:rFonts w:ascii="Arial" w:hAnsi="Arial" w:cs="Arial"/>
          <w:i/>
          <w:sz w:val="24"/>
          <w:szCs w:val="24"/>
        </w:rPr>
        <w:t xml:space="preserve">"tercero adquirente de buena fe", </w:t>
      </w:r>
      <w:r w:rsidRPr="00614F2F">
        <w:rPr>
          <w:rFonts w:ascii="Arial" w:hAnsi="Arial" w:cs="Arial"/>
          <w:sz w:val="24"/>
          <w:szCs w:val="24"/>
        </w:rPr>
        <w:t>en los siguientes términos:</w:t>
      </w:r>
    </w:p>
    <w:p w:rsidR="001201A2" w:rsidRPr="00614F2F" w:rsidRDefault="001201A2" w:rsidP="001201A2">
      <w:pPr>
        <w:spacing w:before="240" w:after="240"/>
        <w:jc w:val="both"/>
        <w:rPr>
          <w:rFonts w:ascii="Arial" w:hAnsi="Arial" w:cs="Arial"/>
          <w:i/>
          <w:sz w:val="24"/>
          <w:szCs w:val="24"/>
        </w:rPr>
      </w:pPr>
      <w:r w:rsidRPr="00614F2F">
        <w:rPr>
          <w:rFonts w:ascii="Arial" w:hAnsi="Arial" w:cs="Arial"/>
          <w:i/>
          <w:sz w:val="24"/>
          <w:szCs w:val="24"/>
        </w:rPr>
        <w:t>''Asimismo, con las particularidades previstas en el artículo 9.</w:t>
      </w:r>
      <w:r w:rsidRPr="00614F2F">
        <w:rPr>
          <w:rFonts w:ascii="Arial" w:hAnsi="Arial" w:cs="Arial"/>
          <w:sz w:val="24"/>
          <w:szCs w:val="24"/>
        </w:rPr>
        <w:t xml:space="preserve">7, </w:t>
      </w:r>
      <w:r w:rsidRPr="00614F2F">
        <w:rPr>
          <w:rFonts w:ascii="Arial" w:hAnsi="Arial" w:cs="Arial"/>
          <w:i/>
          <w:sz w:val="24"/>
          <w:szCs w:val="24"/>
        </w:rPr>
        <w:t xml:space="preserve">dichas acciones podrán dirigirse frente a los terceros adquirentes de buena fe, entendiéndose por tales quienes en el momento de la utilización </w:t>
      </w:r>
      <w:r w:rsidRPr="00614F2F">
        <w:rPr>
          <w:rFonts w:ascii="Arial" w:hAnsi="Arial" w:cs="Arial"/>
          <w:sz w:val="24"/>
          <w:szCs w:val="24"/>
        </w:rPr>
        <w:t xml:space="preserve">o </w:t>
      </w:r>
      <w:r w:rsidRPr="00614F2F">
        <w:rPr>
          <w:rFonts w:ascii="Arial" w:hAnsi="Arial" w:cs="Arial"/>
          <w:i/>
          <w:sz w:val="24"/>
          <w:szCs w:val="24"/>
        </w:rPr>
        <w:t xml:space="preserve">de la revelación no sabían </w:t>
      </w:r>
      <w:r w:rsidRPr="00614F2F">
        <w:rPr>
          <w:rFonts w:ascii="Arial" w:hAnsi="Arial" w:cs="Arial"/>
          <w:sz w:val="24"/>
          <w:szCs w:val="24"/>
        </w:rPr>
        <w:t xml:space="preserve">o, </w:t>
      </w:r>
      <w:r w:rsidRPr="00614F2F">
        <w:rPr>
          <w:rFonts w:ascii="Arial" w:hAnsi="Arial" w:cs="Arial"/>
          <w:i/>
          <w:sz w:val="24"/>
          <w:szCs w:val="24"/>
        </w:rPr>
        <w:t xml:space="preserve">en las circunstancias del caso, no hubieran  debido saber que habían obtenido el secreto empresarial directa </w:t>
      </w:r>
      <w:r w:rsidRPr="00614F2F">
        <w:rPr>
          <w:rFonts w:ascii="Arial" w:hAnsi="Arial" w:cs="Arial"/>
          <w:sz w:val="24"/>
          <w:szCs w:val="24"/>
        </w:rPr>
        <w:t xml:space="preserve">o </w:t>
      </w:r>
      <w:r w:rsidRPr="00614F2F">
        <w:rPr>
          <w:rFonts w:ascii="Arial" w:hAnsi="Arial" w:cs="Arial"/>
          <w:i/>
          <w:sz w:val="24"/>
          <w:szCs w:val="24"/>
        </w:rPr>
        <w:t>indirectamente de un infractor'.</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El Consejo General del Poder Judicial ha formulado objeciones a esta referencia a los </w:t>
      </w:r>
      <w:r w:rsidRPr="00614F2F">
        <w:rPr>
          <w:rFonts w:ascii="Arial" w:hAnsi="Arial" w:cs="Arial"/>
          <w:i/>
          <w:sz w:val="24"/>
          <w:szCs w:val="24"/>
        </w:rPr>
        <w:t xml:space="preserve">"terceros adquirentes de buena fe", </w:t>
      </w:r>
      <w:r w:rsidRPr="00614F2F">
        <w:rPr>
          <w:rFonts w:ascii="Arial" w:hAnsi="Arial" w:cs="Arial"/>
          <w:sz w:val="24"/>
          <w:szCs w:val="24"/>
        </w:rPr>
        <w:t>denominación que considera equívoca por su falta de correlación con la protección civil del tercer adquirente, dado que en este caso la protección no es completa, sino tan solo limitada, en el sentido de posibilitar que, a su instancia, pueda ser mantenido en la posesión del secreto empresarial a cambio de indemnizar al titular legítimo, y porque, en todo caso, quien ha obtenido de un infractor el secreto empresarial no es propiamente un tercero, salvo que se entienda referida dicha condición frente al titular legítimo.</w:t>
      </w:r>
    </w:p>
    <w:p w:rsidR="001201A2" w:rsidRPr="00614F2F" w:rsidRDefault="001201A2" w:rsidP="001201A2">
      <w:pPr>
        <w:spacing w:before="240" w:after="240"/>
        <w:jc w:val="both"/>
        <w:rPr>
          <w:rFonts w:ascii="Arial" w:hAnsi="Arial" w:cs="Arial"/>
          <w:i/>
          <w:sz w:val="24"/>
          <w:szCs w:val="24"/>
        </w:rPr>
      </w:pPr>
      <w:r w:rsidRPr="00614F2F">
        <w:rPr>
          <w:rFonts w:ascii="Arial" w:hAnsi="Arial" w:cs="Arial"/>
          <w:sz w:val="24"/>
          <w:szCs w:val="24"/>
        </w:rPr>
        <w:t xml:space="preserve">La Memoria explica, sin embargo, que la expresión </w:t>
      </w:r>
      <w:r w:rsidRPr="00614F2F">
        <w:rPr>
          <w:rFonts w:ascii="Arial" w:hAnsi="Arial" w:cs="Arial"/>
          <w:i/>
          <w:sz w:val="24"/>
          <w:szCs w:val="24"/>
        </w:rPr>
        <w:t xml:space="preserve">"tercero adquirente de buena fe" </w:t>
      </w:r>
      <w:r w:rsidRPr="00614F2F">
        <w:rPr>
          <w:rFonts w:ascii="Arial" w:hAnsi="Arial" w:cs="Arial"/>
          <w:sz w:val="24"/>
          <w:szCs w:val="24"/>
        </w:rPr>
        <w:t>se emplea en este y en otros artículos del Anteproyecto como "</w:t>
      </w:r>
      <w:r w:rsidRPr="00614F2F">
        <w:rPr>
          <w:rFonts w:ascii="Arial" w:hAnsi="Arial" w:cs="Arial"/>
          <w:i/>
          <w:sz w:val="24"/>
          <w:szCs w:val="24"/>
        </w:rPr>
        <w:t xml:space="preserve">concepto </w:t>
      </w:r>
      <w:r w:rsidR="00D164CA" w:rsidRPr="00614F2F">
        <w:rPr>
          <w:rFonts w:ascii="Arial" w:hAnsi="Arial" w:cs="Arial"/>
          <w:i/>
          <w:sz w:val="24"/>
          <w:szCs w:val="24"/>
        </w:rPr>
        <w:t>paraguas</w:t>
      </w:r>
      <w:r w:rsidRPr="00614F2F">
        <w:rPr>
          <w:rFonts w:ascii="Arial" w:hAnsi="Arial" w:cs="Arial"/>
          <w:sz w:val="24"/>
          <w:szCs w:val="24"/>
        </w:rPr>
        <w:t xml:space="preserve">", por resultar de mayor claridad y para facilitar la transposición, pues, aunque la Directiva sólo considera ilícita la adquisición del secreto de mala fe (por quien, en el momento de la obtención, utilización o revelación, </w:t>
      </w:r>
      <w:r w:rsidRPr="00614F2F">
        <w:rPr>
          <w:rFonts w:ascii="Arial" w:hAnsi="Arial" w:cs="Arial"/>
          <w:i/>
          <w:sz w:val="24"/>
          <w:szCs w:val="24"/>
        </w:rPr>
        <w:t xml:space="preserve">"supiera, </w:t>
      </w:r>
      <w:r w:rsidRPr="00614F2F">
        <w:rPr>
          <w:rFonts w:ascii="Arial" w:hAnsi="Arial" w:cs="Arial"/>
          <w:sz w:val="24"/>
          <w:szCs w:val="24"/>
        </w:rPr>
        <w:t xml:space="preserve">o </w:t>
      </w:r>
      <w:r w:rsidRPr="00614F2F">
        <w:rPr>
          <w:rFonts w:ascii="Arial" w:hAnsi="Arial" w:cs="Arial"/>
          <w:i/>
          <w:sz w:val="24"/>
          <w:szCs w:val="24"/>
        </w:rPr>
        <w:t xml:space="preserve">debiera haber sabido en las circunstancias del caso, que el secreto comercial se había obtenido directa </w:t>
      </w:r>
      <w:r w:rsidRPr="00614F2F">
        <w:rPr>
          <w:rFonts w:ascii="Arial" w:hAnsi="Arial" w:cs="Arial"/>
          <w:sz w:val="24"/>
          <w:szCs w:val="24"/>
        </w:rPr>
        <w:t xml:space="preserve">o </w:t>
      </w:r>
      <w:r w:rsidRPr="00614F2F">
        <w:rPr>
          <w:rFonts w:ascii="Arial" w:hAnsi="Arial" w:cs="Arial"/>
          <w:i/>
          <w:sz w:val="24"/>
          <w:szCs w:val="24"/>
        </w:rPr>
        <w:t xml:space="preserve">indirectamente de otra persona que lo utilizaba </w:t>
      </w:r>
      <w:r w:rsidRPr="00614F2F">
        <w:rPr>
          <w:rFonts w:ascii="Arial" w:hAnsi="Arial" w:cs="Arial"/>
          <w:sz w:val="24"/>
          <w:szCs w:val="24"/>
        </w:rPr>
        <w:t xml:space="preserve">o </w:t>
      </w:r>
      <w:r w:rsidRPr="00614F2F">
        <w:rPr>
          <w:rFonts w:ascii="Arial" w:hAnsi="Arial" w:cs="Arial"/>
          <w:i/>
          <w:sz w:val="24"/>
          <w:szCs w:val="24"/>
        </w:rPr>
        <w:t xml:space="preserve">revelaba de forma ilícita en el sentido de lo dispuesto en el artículo 3": </w:t>
      </w:r>
      <w:r w:rsidRPr="00614F2F">
        <w:rPr>
          <w:rFonts w:ascii="Arial" w:hAnsi="Arial" w:cs="Arial"/>
          <w:sz w:val="24"/>
          <w:szCs w:val="24"/>
        </w:rPr>
        <w:t xml:space="preserve">artículo 4.4 de la Directiva), el artículo 13.3 de la norma europea prevé la posibilidad de que el órgano judicial sustituya, en un procedimiento de protección de secretos empresariales, las medidas previstas en el artículo 12 por el pago de una indemnización pecuniaria, cuando se den una serie de condiciones, entre las que se encuentra la buena fe de la parte afectada </w:t>
      </w:r>
      <w:r w:rsidRPr="00614F2F">
        <w:rPr>
          <w:rFonts w:ascii="Arial" w:hAnsi="Arial" w:cs="Arial"/>
          <w:i/>
          <w:sz w:val="24"/>
          <w:szCs w:val="24"/>
        </w:rPr>
        <w:t xml:space="preserve">("no sabía </w:t>
      </w:r>
      <w:r w:rsidRPr="00614F2F">
        <w:rPr>
          <w:rFonts w:ascii="Arial" w:hAnsi="Arial" w:cs="Arial"/>
          <w:sz w:val="24"/>
          <w:szCs w:val="24"/>
        </w:rPr>
        <w:t xml:space="preserve">o, </w:t>
      </w:r>
      <w:r w:rsidRPr="00614F2F">
        <w:rPr>
          <w:rFonts w:ascii="Arial" w:hAnsi="Arial" w:cs="Arial"/>
          <w:i/>
          <w:sz w:val="24"/>
          <w:szCs w:val="24"/>
        </w:rPr>
        <w:t>en las circunstancias del caso, no debía  haber sabido  que el secreto comercial se había obtenido de una persona que lo utilizaba o revelaba ilícitamente').</w:t>
      </w:r>
    </w:p>
    <w:p w:rsidR="001201A2" w:rsidRPr="00614F2F" w:rsidRDefault="001201A2" w:rsidP="001201A2">
      <w:pPr>
        <w:spacing w:before="240" w:after="240"/>
        <w:jc w:val="both"/>
        <w:rPr>
          <w:rFonts w:ascii="Arial" w:hAnsi="Arial" w:cs="Arial"/>
          <w:sz w:val="24"/>
          <w:szCs w:val="24"/>
        </w:rPr>
      </w:pPr>
      <w:r w:rsidRPr="00614F2F">
        <w:rPr>
          <w:rFonts w:ascii="Arial" w:hAnsi="Arial" w:cs="Arial"/>
          <w:i/>
          <w:sz w:val="24"/>
          <w:szCs w:val="24"/>
        </w:rPr>
        <w:lastRenderedPageBreak/>
        <w:t>Con ello, la Directiva da por supuesto que las acciones de protección de los secretos empresariales en ella previstas pueden también ejercitarse contra esos "terceros adquirentes de buena fe", por lo que resulta justificada la previsión del artículo 8, párrafo tercero, del Anteproyecto. Ese ejercicio está, no obstante, sometido a "las peculiaridades previstas en el artículo 9. 7" del Anteproyecto, que no son otras sino la posibilidad, de acuerdo con el artículo 13.3 de la Directiva, de la sustitución de las medidas civiles por una indemnización pecuniaria a favor de la parte demandante. La lectura de estos artículos queda facilitada con el empleo de esta locución más breve. A efectos de evitar la confusión con la figura paralela de la legislación hipotecaria, no obstante, cabe sugerir que el artículo 8 precise que el concepto allí definido se emplea "a los efectos de la presente Ley" ("... entendiéndose por tales, a los efectos de la presente Ley, quienes ... ').</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614F2F" w:rsidRDefault="001201A2" w:rsidP="001201A2">
      <w:pPr>
        <w:spacing w:before="240" w:after="240"/>
        <w:jc w:val="both"/>
        <w:rPr>
          <w:rFonts w:ascii="Arial" w:hAnsi="Arial" w:cs="Arial"/>
          <w:b/>
          <w:sz w:val="24"/>
          <w:szCs w:val="24"/>
        </w:rPr>
      </w:pPr>
      <w:r w:rsidRPr="00D164CA">
        <w:rPr>
          <w:rFonts w:ascii="Arial" w:hAnsi="Arial" w:cs="Arial"/>
          <w:b/>
          <w:sz w:val="24"/>
          <w:szCs w:val="24"/>
        </w:rPr>
        <w:t>F)</w:t>
      </w:r>
      <w:r w:rsidRPr="00614F2F">
        <w:rPr>
          <w:rFonts w:ascii="Arial" w:hAnsi="Arial" w:cs="Arial"/>
          <w:b/>
          <w:sz w:val="24"/>
          <w:szCs w:val="24"/>
        </w:rPr>
        <w:t xml:space="preserve"> Artículo 9: Acciones civiles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El artículo 9.1 del Anteproyecto enumera el elenco de medidas correctivas cuya adopción puede solicitarse al órgano judicial ante el que se haya ejercitado la correspondiente acción de protección del secreto empresarial (el precepto dice, expresamente, que "podrán, en especial, solicitarse", redacción que se sugiere reemplazar por la más precisa de "podrán, entre otras, solicitarse"). Este primer apartado procede así a la incorporación -con diferente redacción y estructura- de las previsiones contenidas en los apartados 1, 2 y 3 del artículo 12 de la Directiva, con el que presenta, sin embargo, algunas diferencias dignas de mención.</w:t>
      </w:r>
    </w:p>
    <w:p w:rsidR="001201A2" w:rsidRPr="00614F2F" w:rsidRDefault="001201A2" w:rsidP="001201A2">
      <w:pPr>
        <w:spacing w:before="240" w:after="240"/>
        <w:jc w:val="both"/>
        <w:rPr>
          <w:rFonts w:ascii="Arial" w:hAnsi="Arial" w:cs="Arial"/>
          <w:b/>
          <w:sz w:val="24"/>
          <w:szCs w:val="24"/>
        </w:rPr>
      </w:pPr>
      <w:r w:rsidRPr="00614F2F">
        <w:rPr>
          <w:rFonts w:ascii="Arial" w:hAnsi="Arial" w:cs="Arial"/>
          <w:b/>
          <w:sz w:val="24"/>
          <w:szCs w:val="24"/>
        </w:rPr>
        <w:t xml:space="preserve">F.1) </w:t>
      </w:r>
      <w:r w:rsidRPr="00614F2F">
        <w:rPr>
          <w:rFonts w:ascii="Arial" w:hAnsi="Arial" w:cs="Arial"/>
          <w:sz w:val="24"/>
          <w:szCs w:val="24"/>
        </w:rPr>
        <w:t>En particular, debe objetarse al hecho de que algunas de las medidas correctivas previstas en el citado artículo 12 no tengan reflejo en el Anteproyecto. Se trata, en primer lugar, de la medida consistente en "</w:t>
      </w:r>
      <w:r w:rsidR="00D164CA" w:rsidRPr="00614F2F">
        <w:rPr>
          <w:rFonts w:ascii="Arial" w:hAnsi="Arial" w:cs="Arial"/>
          <w:i/>
          <w:sz w:val="24"/>
          <w:szCs w:val="24"/>
        </w:rPr>
        <w:t>l</w:t>
      </w:r>
      <w:r w:rsidRPr="00614F2F">
        <w:rPr>
          <w:rFonts w:ascii="Arial" w:hAnsi="Arial" w:cs="Arial"/>
          <w:i/>
          <w:sz w:val="24"/>
          <w:szCs w:val="24"/>
        </w:rPr>
        <w:t>a prohibición de fabricar, ofrecer, comercia/izar o utilizar mercancías infractoras o de  importar,  exportar  o  almacenar  mercancías  infractoras  con  tales  fines</w:t>
      </w:r>
      <w:r w:rsidRPr="00614F2F">
        <w:rPr>
          <w:rFonts w:ascii="Arial" w:hAnsi="Arial" w:cs="Arial"/>
          <w:sz w:val="24"/>
          <w:szCs w:val="24"/>
        </w:rPr>
        <w:t>", contenida en el artículo 12.1.b) de la Directiva, y de la regulada en el primer inciso de la letra d) del mismo artículo, que se refiere a "</w:t>
      </w:r>
      <w:r w:rsidRPr="00614F2F">
        <w:rPr>
          <w:rFonts w:ascii="Arial" w:hAnsi="Arial" w:cs="Arial"/>
          <w:i/>
          <w:sz w:val="24"/>
          <w:szCs w:val="24"/>
        </w:rPr>
        <w:t>la destrucción total o parcial de cualquier documento, objeto, material, sustancia o fichero electrónico que contenga o constituya el secreto comercial</w:t>
      </w:r>
      <w:r w:rsidRPr="00614F2F">
        <w:rPr>
          <w:rFonts w:ascii="Arial" w:hAnsi="Arial" w:cs="Arial"/>
          <w:sz w:val="24"/>
          <w:szCs w:val="24"/>
        </w:rPr>
        <w:t xml:space="preserve">". El artículo 9.1.c) del Anteproyecto se refiere a la aprehensión de las mercancías infractoras, pero no a la prohibición de su fabricación, ofrecimiento, utilización, importación, exportación o almacenamiento; y la letra d) del mismo precepto contempla "la remoción que comprende la entrega al demandante" de cualesquiera soportes que contengan el secreto empresarial, pero no articula la posible destrucción de los mismos, posibilidad sí contemplada en la Directiva, como se ha visto. El tenor del artículo 12 de la norma europea no suscita duda alguna sobre su carácter imperativo, por lo que debe garantizarse la posibilidad de adopción por </w:t>
      </w:r>
      <w:r w:rsidRPr="00614F2F">
        <w:rPr>
          <w:rFonts w:ascii="Arial" w:hAnsi="Arial" w:cs="Arial"/>
          <w:sz w:val="24"/>
          <w:szCs w:val="24"/>
        </w:rPr>
        <w:lastRenderedPageBreak/>
        <w:t>los órganos judiciales nacionales de cualquiera de las medidas en él contempladas. Ambas previsiones deben, por tanto, necesariamente incorporarse al texto del artículo 9.1 del Anteproyecto.</w:t>
      </w:r>
    </w:p>
    <w:p w:rsidR="001201A2" w:rsidRPr="001201A2" w:rsidRDefault="001201A2" w:rsidP="001201A2">
      <w:pPr>
        <w:spacing w:before="240" w:after="240"/>
        <w:jc w:val="both"/>
        <w:rPr>
          <w:rFonts w:ascii="Arial" w:hAnsi="Arial" w:cs="Arial"/>
          <w:b/>
          <w:bCs/>
          <w:sz w:val="24"/>
          <w:szCs w:val="24"/>
        </w:rPr>
      </w:pPr>
      <w:r w:rsidRPr="001201A2">
        <w:rPr>
          <w:rFonts w:ascii="Arial" w:hAnsi="Arial" w:cs="Arial"/>
          <w:b/>
          <w:bCs/>
          <w:sz w:val="24"/>
          <w:szCs w:val="24"/>
        </w:rPr>
        <w:t>Esta observación tiene carácter esencial, a efectos de lo previsto en el artículo 130.3 del Reglamento Orgánico del Consejo de Estado, aprobado por el Real Decreto 167411980, de 18 de julio.</w:t>
      </w:r>
    </w:p>
    <w:p w:rsidR="001201A2" w:rsidRPr="00614F2F" w:rsidRDefault="001201A2" w:rsidP="001201A2">
      <w:pPr>
        <w:spacing w:before="240" w:after="240"/>
        <w:jc w:val="both"/>
        <w:rPr>
          <w:rFonts w:ascii="Arial" w:hAnsi="Arial" w:cs="Arial"/>
          <w:sz w:val="24"/>
          <w:szCs w:val="24"/>
        </w:rPr>
      </w:pPr>
      <w:r w:rsidRPr="00614F2F">
        <w:rPr>
          <w:rFonts w:ascii="Arial" w:hAnsi="Arial" w:cs="Arial"/>
          <w:b/>
          <w:noProof/>
          <w:sz w:val="24"/>
          <w:szCs w:val="24"/>
          <w:lang w:eastAsia="es-ES"/>
        </w:rPr>
        <mc:AlternateContent>
          <mc:Choice Requires="wps">
            <w:drawing>
              <wp:anchor distT="0" distB="0" distL="114300" distR="114300" simplePos="0" relativeHeight="251664384" behindDoc="0" locked="0" layoutInCell="1" allowOverlap="1" wp14:anchorId="04FAF690" wp14:editId="2AD1B633">
                <wp:simplePos x="0" y="0"/>
                <wp:positionH relativeFrom="page">
                  <wp:posOffset>7536815</wp:posOffset>
                </wp:positionH>
                <wp:positionV relativeFrom="paragraph">
                  <wp:posOffset>3959225</wp:posOffset>
                </wp:positionV>
                <wp:extent cx="0" cy="0"/>
                <wp:effectExtent l="12065" t="790575" r="6985" b="78676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3.45pt,311.75pt" to="593.45pt,3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bjTHQIAAEUEAAAOAAAAZHJzL2Uyb0RvYy54bWysU8GO2yAQvVfqPyDuie3Um81acVaVnfSy bSPt9gMI4BgVMwhInKjqvxdwHGXby2pVH/DADI83M2+Wj6dOoiM3VoAqcTZNMeKKAhNqX+IfL5vJ AiPriGJEguIlPnOLH1cfPyx7XfAZtCAZN8iDKFv0usStc7pIEktb3hE7Bc2VdzZgOuL81uwTZkjv 0TuZzNJ0nvRgmDZAubX+tB6ceBXxm4ZT971pLHdIlthzc3E1cd2FNVktSbE3RLeCXmiQd7DoiFD+ 0StUTRxBByP+geoENWChcVMKXQJNIyiPOfhssvSvbJ5bonnMxRfH6muZ7P+Dpd+OW4MEK/EcI0U6 36LKN4o6MMiEH5qHGvXaFj60UlsTsqQn9ayfgP60SEHVErXnkevLWXuALNxIXl0JG6v9S7v+KzAf Qw4OYsFOjekCpC8FOsW+nK994SeH6HBIx9OEFOMVbaz7wqFDwSixFCoUixTk+GRdoECKMSQcK9gI KWPDpUJ9ifO7+1m8YEEKFpwhzJr9rpIGHUmQTPxiPt5zGxaQa2LbIS66BjEZOCgWX2k5YeuL7YiQ g+1ZSRUe8tl5nhdrEMuvh/RhvVgv8kk+m68neVrXk8+bKp/MN9n9Xf2prqo6+x04Z3nRCsa4CrRH 4Wb524RxGaFBclfpXuuTvEaPhfRkx38kHdsbOjpoYwfsvDVj271WY/BlrsIw3O69fTv9qz8AAAD/ /wMAUEsDBBQABgAIAAAAIQBuxFvw3wAAAA0BAAAPAAAAZHJzL2Rvd25yZXYueG1sTI9RS8MwFIXf Bf9DuIJvLmnFMmvToYMxRJGtG+hj2lzbYnNTmmyr+/VmONDHc+7Huedks9F0bI+Day1JiCYCGFJl dUu1hO1mcTMF5rwirTpLKOEbHczyy4tMpdoeaI37wtcshJBLlYTG+z7l3FUNGuUmtkcKt087GOWD HGquB3UI4abjsRAJN6ql8KFRPc4brL6KnZFQiNfn+Xv8Isr4uHiKPmi5orellNdX4+MDMI+j/4Ph VD9Uhzx0Ku2OtGNd0NE0uQ+shCS+vQN2Qn6t8mzxPOP/V+Q/AAAA//8DAFBLAQItABQABgAIAAAA IQC2gziS/gAAAOEBAAATAAAAAAAAAAAAAAAAAAAAAABbQ29udGVudF9UeXBlc10ueG1sUEsBAi0A FAAGAAgAAAAhADj9If/WAAAAlAEAAAsAAAAAAAAAAAAAAAAALwEAAF9yZWxzLy5yZWxzUEsBAi0A FAAGAAgAAAAhAJc9uNMdAgAARQQAAA4AAAAAAAAAAAAAAAAALgIAAGRycy9lMm9Eb2MueG1sUEsB Ai0AFAAGAAgAAAAhAG7EW/DfAAAADQEAAA8AAAAAAAAAAAAAAAAAdwQAAGRycy9kb3ducmV2Lnht bFBLBQYAAAAABAAEAPMAAACDBQAAAAA= " strokeweight=".36pt">
                <w10:wrap anchorx="page"/>
              </v:line>
            </w:pict>
          </mc:Fallback>
        </mc:AlternateContent>
      </w:r>
      <w:r w:rsidRPr="00614F2F">
        <w:rPr>
          <w:rFonts w:ascii="Arial" w:hAnsi="Arial" w:cs="Arial"/>
          <w:b/>
          <w:sz w:val="24"/>
          <w:szCs w:val="24"/>
        </w:rPr>
        <w:t>F.2)</w:t>
      </w:r>
      <w:r w:rsidRPr="00614F2F">
        <w:rPr>
          <w:rFonts w:ascii="Arial" w:hAnsi="Arial" w:cs="Arial"/>
          <w:sz w:val="24"/>
          <w:szCs w:val="24"/>
        </w:rPr>
        <w:t xml:space="preserve"> Por otra parte, ha de completarse la redacción de la letra c) de este artículo 9.1, que lleva a cabo una transposición del artículo 12, apartados 1.c), 2 y 3 de la Directiva que se revela, sin embargo, incompleta. En efecto, el precepto del Anteproyecto se refiere a "la aprehensión de las mercancías infractoras, incluida la recuperación de las que se encuentren en el mercado, y de los medios destinados únicamente a su producción, con una de las siguientes finalidades: (...)", pero olvida precisar que, de acordarse dicha recuperación, la misma no debe menoscabar la protección del secreto empresarial en cuestión, salvedad que sí introduce el artículo 12.2.c) de la Directiva, y que no parece cubierta por ningún otro artículo de la futura ley.</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noProof/>
          <w:sz w:val="24"/>
          <w:szCs w:val="24"/>
          <w:lang w:eastAsia="es-ES"/>
        </w:rPr>
        <mc:AlternateContent>
          <mc:Choice Requires="wpg">
            <w:drawing>
              <wp:anchor distT="0" distB="0" distL="114300" distR="114300" simplePos="0" relativeHeight="251665408" behindDoc="0" locked="0" layoutInCell="1" allowOverlap="1" wp14:anchorId="30790E30" wp14:editId="2F22246D">
                <wp:simplePos x="0" y="0"/>
                <wp:positionH relativeFrom="page">
                  <wp:posOffset>7479665</wp:posOffset>
                </wp:positionH>
                <wp:positionV relativeFrom="paragraph">
                  <wp:posOffset>-649605</wp:posOffset>
                </wp:positionV>
                <wp:extent cx="55245" cy="4937760"/>
                <wp:effectExtent l="2540" t="5080" r="0" b="63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4937760"/>
                          <a:chOff x="11779" y="-1023"/>
                          <a:chExt cx="87" cy="7776"/>
                        </a:xfrm>
                      </wpg:grpSpPr>
                      <pic:pic xmlns:pic="http://schemas.openxmlformats.org/drawingml/2006/picture">
                        <pic:nvPicPr>
                          <pic:cNvPr id="12"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79" y="-1023"/>
                            <a:ext cx="86"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779" y="1569"/>
                            <a:ext cx="86" cy="5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9"/>
                        <wps:cNvCnPr/>
                        <wps:spPr bwMode="auto">
                          <a:xfrm>
                            <a:off x="11844" y="1569"/>
                            <a:ext cx="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1" o:spid="_x0000_s1026" style="position:absolute;margin-left:588.95pt;margin-top:-51.15pt;width:4.35pt;height:388.8pt;z-index:251665408;mso-position-horizontal-relative:page" coordorigin="11779,-1023" coordsize="87,777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ygLuiVgQAAAIQAAAOAAAAZHJzL2Uyb0RvYy54bWzsV9tu4zYQfS/QfxD0 rlhSJOuC2IvEsoMCaRt02w+gJdoiVhIJko4TFP33zpCSLdtZbJDtQ1skQAxeRzPnnBmSN5+e28Z5 olIx3s3c4Mp3HdqVvGLddub+8fvKS11HadJVpOEdnbkvVLmf5j/+cLMXOQ15zZuKSgeMdCrfi5lb ay3yyUSVNW2JuuKCdjC54bIlGrpyO6kk2YP1tpmEvj+d7LmshOQlVQpGCzvpzo39zYaW+tfNRlHt NDMXfNPmV5rfNf5O5jck30oialb2bpB3eNES1sFHD6YKoomzk+zCVMtKyRXf6KuStxO+2bCSmhgg msA/i+Ze8p0wsWzz/VYcYAJoz3B6t9nyl6dH6bAKuAtcpyMtcHQvd4I70Adw9mKbw5p7KT6LR2kj hOYDL78omJ6cz2N/axc76/3PvAJ7ZKe5Aed5I1s0AWE7z4aDlwMH9Fk7JQzGcRjFrlPCTJRdJ8m0 56isgUjcFQRJkrkOzHuBH15bBst62e9PE7s5ga04NyG5/axxtXdtfiNYmcN/Dym0LiD9tvRgl95J 6vZG2jfZaIn8shMesC+IZmvWMP1ilAwIoVPd0yMrEWnsjNgJB3ZgGr/qJBjdsMhuIRiSocbp+KIm 3ZbeKgE5AKjB9mFISr6vKakUDiNEp1ZM98SNdcPEijUNcoftPmBIozMZvoKZlXjBy11LO21zVtIG YuedqplQriNz2q4pSFD+VAVGKCCGB6XxcygLk0d/humt72fhnbeI/YUX+cnSu82ixEv8ZRL5URos gsVfuDuI8p2iAANpCsF6X2H0wttXk6YvLzYdTVo7T8QUDysmcMiIanAR9IWQoK9Klr8B2LAO2lpS XdbY3ABy/TgsPkwYmI/IIgcKUuybWfOq/hEmzJ50atUfBHF4on6QhlT6nvLWwQZgDZ4arMkTQG1j G5ag1x1Hxk0sTXcyAEHYkQGCMUuZny3TZRp5UThdAktF4d2uFpE3XQVJXFwXi0URDCzVrKpoh5/5 fpIM5rxh1aBTJbfrRSMteSvz1wOijssmKJajGwOxaAwRtcLLgjDy78LMW03TxItWUexliZ96fpDd ZVM/yqJidRrSA+vo94fk7GduFoexYWnkNAptFJtv/i5jI3nLNJytDWtBF4dFJMfUX3aVoVYT1tj2 CAp0/wgF0D0QbSSLIu1rBmj2P1hJr88raYrgndbA/0ElDY1uBurGgv6opOc3iSCeZigCi9K4kMZB GvW5Ndxehir5UUg/Cuk/WUj3Ap5AarhcQe9tFxZ8AL32ePhcE0GhBqDZ0T0yGqqfOaSM6vsVi+5R Qg5g740XkTQCa3ARv0wfeGrhDd7c3eEA+UrqNHDQmCr1ljsIHodBGqap2fGe8xATtyCqtncCY8Em PTyz+vPwa2fjv/TGc7ikjU5vewGyp/ZwipvLNDyALLOW4zWvXgzhZhyEB4vx9QYPTbOtfxTjS3bc N6uOT/f53wAAAP//AwBQSwMEFAAGAAgAAAAhAC5s8ADFAAAApQEAABkAAABkcnMvX3JlbHMvZTJv RG9jLnhtbC5yZWxzvJDBisIwEIbvC/sOYe7btD0sspj2IoJXcR9gSKZpsJmEJIq+vYFlQUHw5nFm +L//Y9bjxS/iTCm7wAq6pgVBrINxbBX8HrZfKxC5IBtcApOCK2UYh8+P9Z4WLDWUZxezqBTOCuZS 4o+UWc/kMTchEtfLFJLHUsdkZUR9REuyb9tvme4ZMDwwxc4oSDvTgzhcY21+zQ7T5DRtgj554vKk QjpfuysQk6WiwJNx+Lfsm8gW5HOH7j0O3b+DfHjucAMAAP//AwBQSwMEFAAGAAgAAAAhAOUt5gjj AAAADgEAAA8AAABkcnMvZG93bnJldi54bWxMj8FqwzAQRO+F/oPYQm+JrJjYqWs5hND2FApNCqW3 jbWxTSzJWIrt/H2VU3Mc9jHzNl9PumUD9a6xRoKYR8DIlFY1ppLwfXifrYA5j0Zhaw1JuJKDdfH4 kGOm7Gi+aNj7ioUS4zKUUHvfZZy7siaNbm47MuF2sr1GH2JfcdXjGMp1yxdRlHCNjQkLNXa0rak8 7y9awseI4yYWb8PufNpefw/Lz5+dICmfn6bNKzBPk/+H4aYf1KEITkd7McqxNmSRpi+BlTAT0SIG dmPEKkmAHSUk6TIGXuT8/o3iDwAA//8DAFBLAwQKAAAAAAAAACEAdg0sQMQAAADEAAAAFAAAAGRy cy9tZWRpYS9pbWFnZTEucG5niVBORw0KGgoAAAANSUhEUgAAAAwAAACgAQMAAAACZR8xAAAABlBM VEX///8AAABVwtN+AAAAAWJLR0QAiAUdSAAAAAlwSFlzAAAOxAAADsQBlSsOGwAAAFdJREFUGJWd j1EKwDAIQx302fvfeAymaNNtMOlHecZEbdhVQ94L5BfE7lqUcyf2B3gInOGpWezG6Q6E5wL5gpQF qhI5yuOTMKfoR1FWrVkeXYVp5Z1H1glC0QKRq0rerwAAAABJRU5ErkJgglBLAwQKAAAAAAAAACEA NV2mqkYBAABGAQAAFAAAAGRycy9tZWRpYS9pbWFnZTIucG5niVBORw0KGgoAAAANSUhEUgAAAAwA AALQAQMAAACe2APZAAAABlBMVEX///8AAABVwtN+AAAAAWJLR0QAiAUdSAAAAAlwSFlzAAAOxAAA DsQBlSsOGwAAANlJREFUSIm1lIEOhDAIQwvc6f//sWaGBaXbzZsmZMFngW5ZhgXYQ4BPibWsS1m/ DO45/O9B1CFKoqEKofBQ1lmaIByqJ+YdVocIbVEKD25uQB3C517aRmUMCqn4DZgNICUzs6zblkLx wp8QhVPlxTmFde8WSHbegrS8P2sEWhvSQx5RPmVgchaNQeVdV4PTb51ALszKmZPXO9dMGbQ2pFt4 CbY09hycj/Fu8zeKwj8OOT6nHVethwLnz9asKJOgrFeLvsbRVeWSYG0Vn25hbSUU2nlfEryNQGAD ka8FaRi0bScAAAAASUVORK5CYIJQSwECLQAUAAYACAAAACEAsYJntgoBAAATAgAAEwAAAAAAAAAA AAAAAAAAAAAAW0NvbnRlbnRfVHlwZXNdLnhtbFBLAQItABQABgAIAAAAIQA4/SH/1gAAAJQBAAAL AAAAAAAAAAAAAAAAADsBAABfcmVscy8ucmVsc1BLAQItABQABgAIAAAAIQDygLuiVgQAAAIQAAAO AAAAAAAAAAAAAAAAADoCAABkcnMvZTJvRG9jLnhtbFBLAQItABQABgAIAAAAIQAubPAAxQAAAKUB AAAZAAAAAAAAAAAAAAAAALwGAABkcnMvX3JlbHMvZTJvRG9jLnhtbC5yZWxzUEsBAi0AFAAGAAgA AAAhAOUt5gjjAAAADgEAAA8AAAAAAAAAAAAAAAAAuAcAAGRycy9kb3ducmV2LnhtbFBLAQItAAoA AAAAAAAAIQB2DSxAxAAAAMQAAAAUAAAAAAAAAAAAAAAAAMgIAABkcnMvbWVkaWEvaW1hZ2UxLnBu Z1BLAQItAAoAAAAAAAAAIQA1XaaqRgEAAEYBAAAUAAAAAAAAAAAAAAAAAL4JAABkcnMvbWVkaWEv aW1hZ2UyLnBuZ1BLBQYAAAAABwAHAL4BAAA2CwAAAAA= ">
                <v:shape id="Picture 7" o:spid="_x0000_s1027" type="#_x0000_t75" style="position:absolute;left:11779;top:-1023;width:86;height:115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CWKCXCAAAA2wAAAA8AAABkcnMvZG93bnJldi54bWxET01rwkAQvQv+h2WE3nSj0GpiNiKFQEuh YBS8DtkxiWZnQ3Yb0/76bqHgbR7vc9LdaFoxUO8aywqWiwgEcWl1w5WC0zGfb0A4j6yxtUwKvsnB LptOUky0vfOBhsJXIoSwS1BB7X2XSOnKmgy6he2IA3exvUEfYF9J3eM9hJtWrqLoRRpsODTU2NFr TeWt+DIKPj+G+DzE19zGuS6K9c/76TI+K/U0G/dbEJ5G/xD/u990mL+Cv1/CATL7BQAA//8DAFBL AQItABQABgAIAAAAIQAEqzleAAEAAOYBAAATAAAAAAAAAAAAAAAAAAAAAABbQ29udGVudF9UeXBl c10ueG1sUEsBAi0AFAAGAAgAAAAhAAjDGKTUAAAAkwEAAAsAAAAAAAAAAAAAAAAAMQEAAF9yZWxz Ly5yZWxzUEsBAi0AFAAGAAgAAAAhADMvBZ5BAAAAOQAAABIAAAAAAAAAAAAAAAAALgIAAGRycy9w aWN0dXJleG1sLnhtbFBLAQItABQABgAIAAAAIQBAliglwgAAANsAAAAPAAAAAAAAAAAAAAAAAJ8C AABkcnMvZG93bnJldi54bWxQSwUGAAAAAAQABAD3AAAAjgMAAAAA ">
                  <v:imagedata r:id="rId14" o:title=""/>
                </v:shape>
                <v:shape id="Picture 8" o:spid="_x0000_s1028" type="#_x0000_t75" style="position:absolute;left:11779;top:1569;width:86;height:518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KrlgnDAAAA2wAAAA8AAABkcnMvZG93bnJldi54bWxET01rAjEQvRf6H8IUvBTNVqGV1ayUgqCX Fq0HvQ2bcbN2M1mS7Lr++6ZQ8DaP9znL1WAb0ZMPtWMFL5MMBHHpdM2VgsP3ejwHESKyxsYxKbhR gFXx+LDEXLsr76jfx0qkEA45KjAxtrmUoTRkMUxcS5y4s/MWY4K+ktrjNYXbRk6z7FVarDk1GGzp w1D5s++sgtnxc3s5PU+7yvms3b11my82TqnR0/C+ABFpiHfxv3uj0/wZ/P2SDpDF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MquWCcMAAADbAAAADwAAAAAAAAAAAAAAAACf AgAAZHJzL2Rvd25yZXYueG1sUEsFBgAAAAAEAAQA9wAAAI8DAAAAAA== ">
                  <v:imagedata r:id="rId15" o:title=""/>
                </v:shape>
                <v:line id="Line 9" o:spid="_x0000_s1029" style="position:absolute;visibility:visible;mso-wrap-style:square" from="11844,1569" to="11844,15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HOiVMIAAADbAAAADwAAAGRycy9kb3ducmV2LnhtbERPTWvCQBC9C/0PyxS86aY1SImuUkIL 4kHUiucxOyax2dmYXTX6611B8DaP9znjaWsqcabGlZYVfPQjEMSZ1SXnCjZ/v70vEM4ja6wsk4Ir OZhO3jpjTLS98IrOa5+LEMIuQQWF93UipcsKMuj6tiYO3N42Bn2ATS51g5cQbir5GUVDabDk0FBg TWlB2f/6ZBQcl/PBQW7jBS34Nrj9HNN5vEuV6r633yMQnlr/Ej/dMx3mx/D4JRwgJ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HOiVMIAAADbAAAADwAAAAAAAAAAAAAA AAChAgAAZHJzL2Rvd25yZXYueG1sUEsFBgAAAAAEAAQA+QAAAJADAAAAAA== " strokeweight="1.44pt"/>
                <w10:wrap anchorx="page"/>
              </v:group>
            </w:pict>
          </mc:Fallback>
        </mc:AlternateContent>
      </w:r>
      <w:r w:rsidRPr="001201A2">
        <w:rPr>
          <w:rFonts w:ascii="Arial" w:hAnsi="Arial" w:cs="Arial"/>
          <w:b/>
          <w:sz w:val="24"/>
          <w:szCs w:val="24"/>
        </w:rPr>
        <w:t>Esta observación tiene carácter esencial, a efectos de lo previsto en el artículo 130.3 del Reglamento Orgánico del Consejo de Estado, aprobado por el Real Decreto 167411980, de 18 de julio.</w:t>
      </w:r>
    </w:p>
    <w:p w:rsidR="001201A2" w:rsidRPr="00614F2F" w:rsidRDefault="001201A2" w:rsidP="001201A2">
      <w:pPr>
        <w:spacing w:before="240" w:after="240"/>
        <w:jc w:val="both"/>
        <w:rPr>
          <w:rFonts w:ascii="Arial" w:hAnsi="Arial" w:cs="Arial"/>
          <w:sz w:val="24"/>
          <w:szCs w:val="24"/>
        </w:rPr>
      </w:pPr>
      <w:r w:rsidRPr="001201A2">
        <w:rPr>
          <w:rFonts w:ascii="Arial" w:hAnsi="Arial" w:cs="Arial"/>
          <w:b/>
          <w:sz w:val="24"/>
          <w:szCs w:val="24"/>
        </w:rPr>
        <w:t xml:space="preserve">F.3) </w:t>
      </w:r>
      <w:r w:rsidRPr="00614F2F">
        <w:rPr>
          <w:rFonts w:ascii="Arial" w:hAnsi="Arial" w:cs="Arial"/>
          <w:sz w:val="24"/>
          <w:szCs w:val="24"/>
        </w:rPr>
        <w:t xml:space="preserve">En fin, la letra e) del artículo 9.1 del Anteproyecto  se refiere a  </w:t>
      </w:r>
      <w:r w:rsidRPr="00614F2F">
        <w:rPr>
          <w:rFonts w:ascii="Arial" w:hAnsi="Arial" w:cs="Arial"/>
          <w:i/>
          <w:sz w:val="24"/>
          <w:szCs w:val="24"/>
        </w:rPr>
        <w:t xml:space="preserve">"la atribución en propiedad de las mercancías infractoras al demandante", </w:t>
      </w:r>
      <w:r w:rsidRPr="00614F2F">
        <w:rPr>
          <w:rFonts w:ascii="Arial" w:hAnsi="Arial" w:cs="Arial"/>
          <w:sz w:val="24"/>
          <w:szCs w:val="24"/>
        </w:rPr>
        <w:t xml:space="preserve">medida contemplada en el artículo 12.3 de la  Directiva.  El  Anteproyecto contempla esta previsión disponiendo que, en estos casos, </w:t>
      </w:r>
      <w:r w:rsidRPr="00614F2F">
        <w:rPr>
          <w:rFonts w:ascii="Arial" w:hAnsi="Arial" w:cs="Arial"/>
          <w:i/>
          <w:sz w:val="24"/>
          <w:szCs w:val="24"/>
        </w:rPr>
        <w:t xml:space="preserve">"el valor de las mercancías entregadas se imputará al importe de la indemnización de daños y perjuicios debida, sin perjuicio de la subsistencia de la responsabilidad del infractor en lo que se refiere </w:t>
      </w:r>
      <w:r w:rsidRPr="00614F2F">
        <w:rPr>
          <w:rFonts w:ascii="Arial" w:hAnsi="Arial" w:cs="Arial"/>
          <w:sz w:val="24"/>
          <w:szCs w:val="24"/>
        </w:rPr>
        <w:t xml:space="preserve">a </w:t>
      </w:r>
      <w:r w:rsidRPr="00614F2F">
        <w:rPr>
          <w:rFonts w:ascii="Arial" w:hAnsi="Arial" w:cs="Arial"/>
          <w:i/>
          <w:sz w:val="24"/>
          <w:szCs w:val="24"/>
        </w:rPr>
        <w:t xml:space="preserve">la cuantía indemnizatoria que exceda del referido valor. Si el valor excede del importe de la indemnización, el demandante deberá compensarlo </w:t>
      </w:r>
      <w:r w:rsidRPr="00614F2F">
        <w:rPr>
          <w:rFonts w:ascii="Arial" w:hAnsi="Arial" w:cs="Arial"/>
          <w:sz w:val="24"/>
          <w:szCs w:val="24"/>
        </w:rPr>
        <w:t xml:space="preserve">a </w:t>
      </w:r>
      <w:r w:rsidRPr="00614F2F">
        <w:rPr>
          <w:rFonts w:ascii="Arial" w:hAnsi="Arial" w:cs="Arial"/>
          <w:i/>
          <w:sz w:val="24"/>
          <w:szCs w:val="24"/>
        </w:rPr>
        <w:t xml:space="preserve">la otra parte". </w:t>
      </w:r>
      <w:r w:rsidRPr="00614F2F">
        <w:rPr>
          <w:rFonts w:ascii="Arial" w:hAnsi="Arial" w:cs="Arial"/>
          <w:sz w:val="24"/>
          <w:szCs w:val="24"/>
        </w:rPr>
        <w:t xml:space="preserve">Esta última es una regulación inspirada  en  el artículo 71.1.d) de la Ley 24/2015, de 24 de julio, de Patentes, y que, pese a no encontrarse en el texto de la Directiva, nada impide incorporar a la normativa nacional, dado que el artículo 14 de la Directiva prevé la imposición de una indemnización al infractor por los daños  y  perjuicios  causados,  disponiendo  en su apartado 2 que, al fijar el importe de la misma, </w:t>
      </w:r>
      <w:r w:rsidRPr="00614F2F">
        <w:rPr>
          <w:rFonts w:ascii="Arial" w:hAnsi="Arial" w:cs="Arial"/>
          <w:i/>
          <w:sz w:val="24"/>
          <w:szCs w:val="24"/>
        </w:rPr>
        <w:t xml:space="preserve">"las autoridades judiciales competentes tendrán en cuenta todos los factores pertinentes, como los perjuicios económicos, incluido el lucro cesante, que haya sufrido la parte perjudicada, el enriquecimiento injusto obtenido por el infractor y, cuando proceda,  otros elementos que no sean de orden económico,  como el  perjuicio moral causado al poseedor del secreto comercial por la obtención, utilización  </w:t>
      </w:r>
      <w:r w:rsidRPr="00614F2F">
        <w:rPr>
          <w:rFonts w:ascii="Arial" w:hAnsi="Arial" w:cs="Arial"/>
          <w:sz w:val="24"/>
          <w:szCs w:val="24"/>
        </w:rPr>
        <w:t xml:space="preserve">o </w:t>
      </w:r>
      <w:r w:rsidRPr="00614F2F">
        <w:rPr>
          <w:rFonts w:ascii="Arial" w:hAnsi="Arial" w:cs="Arial"/>
          <w:noProof/>
          <w:sz w:val="24"/>
          <w:szCs w:val="24"/>
          <w:lang w:eastAsia="es-ES"/>
        </w:rPr>
        <mc:AlternateContent>
          <mc:Choice Requires="wps">
            <w:drawing>
              <wp:anchor distT="0" distB="0" distL="114300" distR="114300" simplePos="0" relativeHeight="251666432" behindDoc="0" locked="0" layoutInCell="1" allowOverlap="1" wp14:anchorId="6FD297D7" wp14:editId="7D180957">
                <wp:simplePos x="0" y="0"/>
                <wp:positionH relativeFrom="page">
                  <wp:posOffset>7513955</wp:posOffset>
                </wp:positionH>
                <wp:positionV relativeFrom="paragraph">
                  <wp:posOffset>1586230</wp:posOffset>
                </wp:positionV>
                <wp:extent cx="0" cy="0"/>
                <wp:effectExtent l="8255" t="578485" r="10795" b="57912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65pt,124.9pt" to="591.65pt,12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2jNMHQIAAEcEAAAOAAAAZHJzL2Uyb0RvYy54bWysU8GO2jAQvVfqP1i5QwhNtxARVlUCvWxb pN1+gLEdYtXxWLYhoKr/3rFDENteqqo5OGPP+PnNm5nV47lT5CSsk6DLJJvOEiI0Ay71oUy+vWwn i4Q4TzWnCrQok4twyeP67ZtVbwoxhxYUF5YgiHZFb8qk9d4UaepYKzrqpmCERmcDtqMet/aQckt7 RO9UOp/NHtIeLDcWmHAOT+vBmawjftMI5r82jROeqDJBbj6uNq77sKbrFS0OlppWsisN+g8sOio1 PnqDqqmn5GjlH1CdZBYcNH7KoEuhaSQTMQfMJpv9ls1zS42IuaA4ztxkcv8Pln057SyRHGuH8mja YY0qrBTzYIkNP4IOVKk3rsDgSu9syJOd9bN5AvbdEQ1VS/VBRLYvF4MIWbiRvroSNs7gW/v+M3CM oUcPUbJzY7sAiWKQc6zM5VYZcfaEDYdsPE1pMV4x1vlPAjoSjDJRUge5aEFPT84HCrQYQ8Kxhq1U KpZcadKXyTLL83jBgZI8OEOYs4d9pSw50dA08Yv5oOc+LCDX1LVDXHQN7WThqHl8pRWUb662p1IN NrJSOjyE2SHPqzW0y4/lbLlZbBb5JJ8/bCb5rK4nH7dVPnnYZh/e1+/qqqqzn4Fzlhet5FzoQHts 3Sz/u9a4DtHQdLfmvemTvkaPQiLZ8R9Jx/KGig69sQd+2dmx7NitMfg6WWEc7vdo38//+hcAAAD/ /wMAUEsDBBQABgAIAAAAIQBKfcv/3AAAAA0BAAAPAAAAZHJzL2Rvd25yZXYueG1sTI/BTsMwEETv SPyDtUjcqNMWlRLiVKgKF8SBBj7AjZfYIl5HsduEfj1bgQTHmX2anSk2k+/EEYfoAimYzzIQSE0w jloF729PN2sQMWkyuguECr4wwqa8vCh0bsJIOzzWqRUcQjHXCmxKfS5lbCx6HWehR+LbRxi8TiyH VppBjxzuO7nIspX02hF/sLrHrcXmsz54BfXry7h6Pp3G6q52OqbkbFVtlbq+mh4fQCSc0h8M5/pc HUrutA8HMlF0rOfr5ZJZBYvbex5xRn6s/a8ly0L+X1F+AwAA//8DAFBLAQItABQABgAIAAAAIQC2 gziS/gAAAOEBAAATAAAAAAAAAAAAAAAAAAAAAABbQ29udGVudF9UeXBlc10ueG1sUEsBAi0AFAAG AAgAAAAhADj9If/WAAAAlAEAAAsAAAAAAAAAAAAAAAAALwEAAF9yZWxzLy5yZWxzUEsBAi0AFAAG AAgAAAAhAHHaM0wdAgAARwQAAA4AAAAAAAAAAAAAAAAALgIAAGRycy9lMm9Eb2MueG1sUEsBAi0A FAAGAAgAAAAhAEp9y//cAAAADQEAAA8AAAAAAAAAAAAAAAAAdwQAAGRycy9kb3ducmV2LnhtbFBL BQYAAAAABAAEAPMAAACABQAAAAA= " strokeweight=".72pt">
                <w10:wrap anchorx="page"/>
              </v:line>
            </w:pict>
          </mc:Fallback>
        </mc:AlternateContent>
      </w:r>
      <w:r w:rsidRPr="00614F2F">
        <w:rPr>
          <w:rFonts w:ascii="Arial" w:hAnsi="Arial" w:cs="Arial"/>
          <w:i/>
          <w:sz w:val="24"/>
          <w:szCs w:val="24"/>
        </w:rPr>
        <w:t xml:space="preserve">revelación ilícitas del secreto comercial". </w:t>
      </w:r>
      <w:r w:rsidRPr="00614F2F">
        <w:rPr>
          <w:rFonts w:ascii="Arial" w:hAnsi="Arial" w:cs="Arial"/>
          <w:sz w:val="24"/>
          <w:szCs w:val="24"/>
        </w:rPr>
        <w:t xml:space="preserve">La atribución en propiedad de las mercancías infractoras al demandante puede, sin duda, considerarse un "factor pertinente" a efectos del cálculo indemnizatorio, en el sentido indicado en la </w:t>
      </w:r>
      <w:r w:rsidRPr="00614F2F">
        <w:rPr>
          <w:rFonts w:ascii="Arial" w:hAnsi="Arial" w:cs="Arial"/>
          <w:sz w:val="24"/>
          <w:szCs w:val="24"/>
        </w:rPr>
        <w:lastRenderedPageBreak/>
        <w:t xml:space="preserve">regulación propuesta. Ésta, sin embargo, se separa de la normativa europea al prever que la imputación del valor de las citadas mercancías al importe de la indemnización se produzca de forma automática, cuando la Directiva dispone, en todo caso, que ese cálculo, y la consiguiente valoración de todos los "factores pertinentes", sea </w:t>
      </w:r>
      <w:proofErr w:type="gramStart"/>
      <w:r w:rsidRPr="00614F2F">
        <w:rPr>
          <w:rFonts w:ascii="Arial" w:hAnsi="Arial" w:cs="Arial"/>
          <w:sz w:val="24"/>
          <w:szCs w:val="24"/>
        </w:rPr>
        <w:t>llevado</w:t>
      </w:r>
      <w:proofErr w:type="gramEnd"/>
      <w:r w:rsidRPr="00614F2F">
        <w:rPr>
          <w:rFonts w:ascii="Arial" w:hAnsi="Arial" w:cs="Arial"/>
          <w:sz w:val="24"/>
          <w:szCs w:val="24"/>
        </w:rPr>
        <w:t xml:space="preserve"> a cabo por el órgano judicial. En el artículo 9.1.e) del Anteproyecto debería por ello reemplazar la redacción actual </w:t>
      </w:r>
      <w:r w:rsidRPr="00614F2F">
        <w:rPr>
          <w:rFonts w:ascii="Arial" w:hAnsi="Arial" w:cs="Arial"/>
          <w:i/>
          <w:sz w:val="24"/>
          <w:szCs w:val="24"/>
        </w:rPr>
        <w:t xml:space="preserve">-"se imputará"- </w:t>
      </w:r>
      <w:r w:rsidRPr="00614F2F">
        <w:rPr>
          <w:rFonts w:ascii="Arial" w:hAnsi="Arial" w:cs="Arial"/>
          <w:sz w:val="24"/>
          <w:szCs w:val="24"/>
        </w:rPr>
        <w:t xml:space="preserve">por otra en la que se plasme ese margen de decisión judicial -por ejemplo, </w:t>
      </w:r>
      <w:r w:rsidRPr="00614F2F">
        <w:rPr>
          <w:rFonts w:ascii="Arial" w:hAnsi="Arial" w:cs="Arial"/>
          <w:i/>
          <w:sz w:val="24"/>
          <w:szCs w:val="24"/>
        </w:rPr>
        <w:t>"podrá imputarse"-.</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Esta observación tiene carácter esencial, a efectos de lo previsto en el artículo 130.3 del Reglamento Orgánico del Consejo de Estado, aprobado por el Real Decreto 1674/1980, de 18 de julio.</w:t>
      </w:r>
    </w:p>
    <w:p w:rsidR="001201A2" w:rsidRPr="00614F2F" w:rsidRDefault="001201A2" w:rsidP="001201A2">
      <w:pPr>
        <w:spacing w:before="240" w:after="240"/>
        <w:jc w:val="both"/>
        <w:rPr>
          <w:rFonts w:ascii="Arial" w:hAnsi="Arial" w:cs="Arial"/>
          <w:sz w:val="24"/>
          <w:szCs w:val="24"/>
        </w:rPr>
      </w:pPr>
      <w:r w:rsidRPr="001201A2">
        <w:rPr>
          <w:rFonts w:ascii="Arial" w:hAnsi="Arial" w:cs="Arial"/>
          <w:b/>
          <w:sz w:val="24"/>
          <w:szCs w:val="24"/>
        </w:rPr>
        <w:t xml:space="preserve">F.4) </w:t>
      </w:r>
      <w:r w:rsidRPr="00614F2F">
        <w:rPr>
          <w:rFonts w:ascii="Arial" w:hAnsi="Arial" w:cs="Arial"/>
          <w:sz w:val="24"/>
          <w:szCs w:val="24"/>
        </w:rPr>
        <w:t>El resto del artículo 9 (apartados 2 a 7) reproduce de forma fiel y completa la Directiva, en particular sus artículos 14.4 (ejecución de ciertas medidas a expensas del infractor); 13.1 (criterios para la determinación de las medidas); 15.5 (criterios para adoptar la medida de publicación o difusión de la sentencia); 13.2 (pérdida de efectos de las medidas de cesación y prohibición); 16 (posibilidad de imponer multas coercitivas en caso de incumplimiento de una medida); y 13.3 (sustitución de las medidas por indemnización pecuniaria en caso de infractor adquirente de buena fe).</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mc:AlternateContent>
          <mc:Choice Requires="wpg">
            <w:drawing>
              <wp:anchor distT="0" distB="0" distL="114300" distR="114300" simplePos="0" relativeHeight="251668480" behindDoc="0" locked="0" layoutInCell="1" allowOverlap="1" wp14:anchorId="3623097F" wp14:editId="793012AB">
                <wp:simplePos x="0" y="0"/>
                <wp:positionH relativeFrom="page">
                  <wp:posOffset>7504430</wp:posOffset>
                </wp:positionH>
                <wp:positionV relativeFrom="paragraph">
                  <wp:posOffset>100330</wp:posOffset>
                </wp:positionV>
                <wp:extent cx="34925" cy="2782570"/>
                <wp:effectExtent l="8255" t="1905" r="4445" b="635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2782570"/>
                          <a:chOff x="11818" y="158"/>
                          <a:chExt cx="55" cy="4382"/>
                        </a:xfrm>
                      </wpg:grpSpPr>
                      <wps:wsp>
                        <wps:cNvPr id="19" name="Line 13"/>
                        <wps:cNvCnPr/>
                        <wps:spPr bwMode="auto">
                          <a:xfrm>
                            <a:off x="11826" y="3384"/>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wps:spPr bwMode="auto">
                          <a:xfrm>
                            <a:off x="11869" y="4536"/>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8" o:spid="_x0000_s1026" style="position:absolute;margin-left:590.9pt;margin-top:7.9pt;width:2.75pt;height:219.1pt;z-index:251668480;mso-position-horizontal-relative:page" coordorigin="11818,158" coordsize="55,43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R5CqwIAAO8HAAAOAAAAZHJzL2Uyb0RvYy54bWzsVctu2zAQvBfoPxC6O7JetixEDgrL9iVt AqT9AJqiHqhEEiRtOSj6712SkpukhxYpmlN9oEntcjUzOxSvb859h05Uqpaz3Auu5h6ijPCyZXXu ffm8m6UeUhqzEnec0dx7pMq7Wb9/dz2IjIa84V1JJYIiTGWDyL1Ga5H5viIN7bG64oIyCFZc9ljD UtZ+KfEA1fvOD+fzhT9wWQrJCVUKnhYu6K1t/aqiRN9VlaIadbkH2LQdpR0PZvTX1zirJRZNS0YY +BUoetwyeOmlVIE1RkfZ/lKqb4nkilf6ivDe51XVEmo5AJtg/oLNXvKjsFzqbKjFRSaQ9oVOry5L Pp3uJWpL6B10iuEeerSXR8ERrEGcQdQZ5OyleBD30jGE6S0nXxWE/Zdxs65dMjoMH3kJ9fBRcyvO uZK9KQG00dn24PHSA3rWiMDDKF6FiYcIRMJlGibLsUekgUaaXUGQGqgQDxILEWek2Y67k3FrHKWh ge/jzL3UAh2BGVbgNvVTUPV3gj40WFDbJ2XEmgRdTYLetoyiIHJ62pQNu5dWXZUp0PW3UgHpcGFJ R1Eam0I4mxQDWxu1rE4XvjgTUuk95T0yk9zrAINtAj7dKu2kmVJMNcZ3bdfZwh1DQ+6tgji2GxTv 2tIETZqS9WHTSXTC5kDZ36jzszRTucCqcXk25ECDo1lp39JQXG7HucZt5+ZAoGMjO8A58bRH6dtq vtqm2zSexeFiO4vnRTH7sNvEs8UuWCZFVGw2RfDdYA7irGnLkjIDezrWQfxnXR4/MO5AXg72RR// eXXrMWjF9G9Bg9tcY53VDrx8tP22z8F4b+TAEKzhjrRzoDWOgQYmfYUDF2BoMFqcRIs3cWCcLMP/ DvxXDrRfRLhVrHHHG9BcW0/XMH96T69/AAAA//8DAFBLAwQUAAYACAAAACEAWkQJIeEAAAAMAQAA DwAAAGRycy9kb3ducmV2LnhtbEyPQUvDQBCF74L/YRnBm92sbTTEbEop6qkItkLpbZtMk9DsbMhu k/TfOz3paebxHm++yZaTbcWAvW8caVCzCARS4cqGKg0/u4+nBIQPhkrTOkINV/SwzO/vMpOWbqRv HLahElxCPjUa6hC6VEpf1GiNn7kOib2T660JLPtKlr0Zudy28jmKXqQ1DfGF2nS4rrE4by9Ww+do xtVcvQ+b82l9Pezir/1GodaPD9PqDUTAKfyF4YbP6JAz09FdqPSiZa0SxeyBt5jnLaGS1zmIo4ZF vIhA5pn8/0T+CwAA//8DAFBLAQItABQABgAIAAAAIQC2gziS/gAAAOEBAAATAAAAAAAAAAAAAAAA AAAAAABbQ29udGVudF9UeXBlc10ueG1sUEsBAi0AFAAGAAgAAAAhADj9If/WAAAAlAEAAAsAAAAA AAAAAAAAAAAALwEAAF9yZWxzLy5yZWxzUEsBAi0AFAAGAAgAAAAhAH8FHkKrAgAA7wcAAA4AAAAA AAAAAAAAAAAALgIAAGRycy9lMm9Eb2MueG1sUEsBAi0AFAAGAAgAAAAhAFpECSHhAAAADAEAAA8A AAAAAAAAAAAAAAAABQUAAGRycy9kb3ducmV2LnhtbFBLBQYAAAAABAAEAPMAAAATBgAAAAA= ">
                <v:line id="Line 13" o:spid="_x0000_s1027" style="position:absolute;visibility:visible;mso-wrap-style:square" from="11826,3384" to="11826,3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FXscMAAADbAAAADwAAAGRycy9kb3ducmV2LnhtbERPS2vCQBC+F/oflhF6qxtbrBpdRQqF 0pPG923MjklodnbJbk38912h0Nt8fM+ZLTpTiys1vrKsYNBPQBDnVldcKNhuPp7HIHxA1lhbJgU3 8rCYPz7MMNW25TVds1CIGMI+RQVlCC6V0uclGfR964gjd7GNwRBhU0jdYBvDTS1fkuRNGqw4NpTo 6L2k/Dv7MQrOR2p36/1yeBgNs+1u9er2py+n1FOvW05BBOrCv/jP/anj/Ancf4kHyPk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AhV7HDAAAA2wAAAA8AAAAAAAAAAAAA AAAAoQIAAGRycy9kb3ducmV2LnhtbFBLBQYAAAAABAAEAPkAAACRAwAAAAA= " strokeweight=".72pt"/>
                <v:line id="Line 14" o:spid="_x0000_s1028" style="position:absolute;visibility:visible;mso-wrap-style:square" from="11869,4536" to="11869,45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k9lTcEAAADbAAAADwAAAGRycy9kb3ducmV2LnhtbERPz2vCMBS+C/4P4Qm7aWoPTmqjiCCb G0ym8/5oXpti81Ka1Hb765fDYMeP73e+G20jHtT52rGC5SIBQVw4XXOl4Ot6nK9B+ICssXFMCr7J w247neSYaTfwJz0uoRIxhH2GCkwIbSalLwxZ9AvXEkeudJ3FEGFXSd3hEMNtI9MkWUmLNccGgy0d DBX3S28VhOH2fD2dx7sp3376d077Jn35UOppNu43IAKN4V/8537VCtK4Pn6JP0B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uT2VNwQAAANsAAAAPAAAAAAAAAAAAAAAA AKECAABkcnMvZG93bnJldi54bWxQSwUGAAAAAAQABAD5AAAAjwMAAAAA " strokeweight=".36pt"/>
                <w10:wrap anchorx="page"/>
              </v:group>
            </w:pict>
          </mc:Fallback>
        </mc:AlternateContent>
      </w:r>
      <w:r w:rsidRPr="00614F2F">
        <w:rPr>
          <w:rFonts w:ascii="Arial" w:hAnsi="Arial" w:cs="Arial"/>
          <w:sz w:val="24"/>
          <w:szCs w:val="24"/>
        </w:rPr>
        <w:t xml:space="preserve">Cabe únicamente formular una sugerencia meramente formal o de redacción, en orden a aclarar el tenor  del artículo  9.7 del Anteproyecto,  en  el  que se establece que, en caso de un demandado que sea adquirente  de buena  fe, las medidas </w:t>
      </w:r>
      <w:r w:rsidRPr="00614F2F">
        <w:rPr>
          <w:rFonts w:ascii="Arial" w:hAnsi="Arial" w:cs="Arial"/>
          <w:i/>
          <w:sz w:val="24"/>
          <w:szCs w:val="24"/>
        </w:rPr>
        <w:t xml:space="preserve">''podrán sustituirse por una indemnización pecuniaria </w:t>
      </w:r>
      <w:r w:rsidRPr="00614F2F">
        <w:rPr>
          <w:rFonts w:ascii="Arial" w:hAnsi="Arial" w:cs="Arial"/>
          <w:sz w:val="24"/>
          <w:szCs w:val="24"/>
        </w:rPr>
        <w:t xml:space="preserve">a </w:t>
      </w:r>
      <w:r w:rsidRPr="00614F2F">
        <w:rPr>
          <w:rFonts w:ascii="Arial" w:hAnsi="Arial" w:cs="Arial"/>
          <w:i/>
          <w:sz w:val="24"/>
          <w:szCs w:val="24"/>
        </w:rPr>
        <w:t xml:space="preserve">favor de la parte demandante si ésta resultase razonablemente satisfactoria y la ejecución de aquellas medidas hubiera de causar a la parte demandada un perjuicio desproporcionado". </w:t>
      </w:r>
      <w:r w:rsidRPr="00614F2F">
        <w:rPr>
          <w:rFonts w:ascii="Arial" w:hAnsi="Arial" w:cs="Arial"/>
          <w:sz w:val="24"/>
          <w:szCs w:val="24"/>
        </w:rPr>
        <w:t xml:space="preserve">Se propone, como redacción alternativa, la  siguiente: "... </w:t>
      </w:r>
      <w:r w:rsidRPr="00614F2F">
        <w:rPr>
          <w:rFonts w:ascii="Arial" w:hAnsi="Arial" w:cs="Arial"/>
          <w:i/>
          <w:sz w:val="24"/>
          <w:szCs w:val="24"/>
        </w:rPr>
        <w:t xml:space="preserve">podrán sustituirse por el pago a favor de la parte demandante de una indemnización pecuniaria, siempre que ésta resulte razonablemente satisfactoria y la ejecución de aquellas medidas hubiera de causar </w:t>
      </w:r>
      <w:r w:rsidRPr="00614F2F">
        <w:rPr>
          <w:rFonts w:ascii="Arial" w:hAnsi="Arial" w:cs="Arial"/>
          <w:sz w:val="24"/>
          <w:szCs w:val="24"/>
        </w:rPr>
        <w:t xml:space="preserve">a </w:t>
      </w:r>
      <w:r w:rsidRPr="00614F2F">
        <w:rPr>
          <w:rFonts w:ascii="Arial" w:hAnsi="Arial" w:cs="Arial"/>
          <w:i/>
          <w:sz w:val="24"/>
          <w:szCs w:val="24"/>
        </w:rPr>
        <w:t>la parte demandada un perjuicio desproporcionado".</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aceptan todas</w:t>
      </w:r>
    </w:p>
    <w:p w:rsidR="001201A2" w:rsidRPr="00D164CA" w:rsidRDefault="001201A2" w:rsidP="001201A2">
      <w:pPr>
        <w:spacing w:before="240" w:after="240"/>
        <w:jc w:val="both"/>
        <w:rPr>
          <w:rFonts w:ascii="Arial" w:hAnsi="Arial" w:cs="Arial"/>
          <w:b/>
          <w:sz w:val="24"/>
          <w:szCs w:val="24"/>
        </w:rPr>
      </w:pPr>
      <w:r w:rsidRPr="00D164CA">
        <w:rPr>
          <w:rFonts w:ascii="Arial" w:hAnsi="Arial" w:cs="Arial"/>
          <w:b/>
          <w:sz w:val="24"/>
          <w:szCs w:val="24"/>
        </w:rPr>
        <w:t>G) Artículo 10: Cálculo de los daños y perjuicios</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mc:AlternateContent>
          <mc:Choice Requires="wps">
            <w:drawing>
              <wp:anchor distT="0" distB="0" distL="114300" distR="114300" simplePos="0" relativeHeight="251667456" behindDoc="0" locked="0" layoutInCell="1" allowOverlap="1" wp14:anchorId="61F742B3" wp14:editId="65C6A6A4">
                <wp:simplePos x="0" y="0"/>
                <wp:positionH relativeFrom="page">
                  <wp:posOffset>7513955</wp:posOffset>
                </wp:positionH>
                <wp:positionV relativeFrom="paragraph">
                  <wp:posOffset>1996440</wp:posOffset>
                </wp:positionV>
                <wp:extent cx="0" cy="0"/>
                <wp:effectExtent l="8255" t="1416685" r="10795" b="1420495"/>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65pt,157.2pt" to="591.65pt,15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tr8HQIAAEcEAAAOAAAAZHJzL2Uyb0RvYy54bWysU8GO2yAQvVfqPyDuie3Um2StOKvKTnrZ tpF2+wEEcIyKAQGJE1X99w44jrLtparqAx6Y4fFm3szq6dxJdOLWCa1KnE1TjLiimgl1KPG31+1k iZHzRDEiteIlvnCHn9bv3616U/CZbrVk3CIAUa7oTYlb702RJI62vCNuqg1X4Gy07YiHrT0kzJIe 0DuZzNJ0nvTaMmM15c7BaT048TriNw2n/mvTOO6RLDFw83G1cd2HNVmvSHGwxLSCXmmQf2DREaHg 0RtUTTxBRyv+gOoEtdrpxk+p7hLdNILymANkk6W/ZfPSEsNjLlAcZ25lcv8Pln457SwSDLRbYKRI BxpVoBT12iIbfggcUKXeuAKCK7WzIU96Vi/mWdPvDildtUQdeGT7ejGAkIUbyZsrYeMMvLXvP2sG MeTodSzZubFdgIRioHNU5nJThp89osMhHU8TUoxXjHX+E9cdCkaJpVChXKQgp2fnAwVSjCHhWOmt kDJKLhXqS5w/LGbxgtNSsOAMYc4e9pW06ERC08Qv5gOe+7CAXBPXDnHRNbST1UfF4istJ2xztT0R crCBlVThIcgOeF6toV1+PKaPm+VmmU/y2XwzydO6nnzcVvlkvs0WD/WHuqrq7GfgnOVFKxjjKtAe WzfL/641rkM0NN2teW/1Sd6ix0IC2fEfSUd5g6JDb+w1u+zsKDt0awy+TlYYh/s92Pfzv/4FAAD/ /wMAUEsDBBQABgAIAAAAIQC+hzhD3wAAAA0BAAAPAAAAZHJzL2Rvd25yZXYueG1sTI9RS8MwFIXf Bf9DuIJvLmk7ZNSmYw7GEEVcJ+hj2ty1xeamNNlW/fVmKGyP59yPc8/J5qPp2AEH11qSEE0EMKTK 6pZqCe/b1d0MmPOKtOosoYRvdDDPr68ylWp7pA0eCl+zEEIuVRIa7/uUc1c1aJSb2B4p3HZ2MMoH OdRcD+oYwk3HYyHuuVEthQ+N6nHZYPVV7I2EQrw8LT/iZ1HGP6vH6JPWb/S6lvL2Zlw8APM4+jMM p/qhOuShU2n3pB3rgo5mSRJYCUk0nQI7IX9W+W/xPOOXK/JfAAAA//8DAFBLAQItABQABgAIAAAA IQC2gziS/gAAAOEBAAATAAAAAAAAAAAAAAAAAAAAAABbQ29udGVudF9UeXBlc10ueG1sUEsBAi0A FAAGAAgAAAAhADj9If/WAAAAlAEAAAsAAAAAAAAAAAAAAAAALwEAAF9yZWxzLy5yZWxzUEsBAi0A FAAGAAgAAAAhAF8W2vwdAgAARwQAAA4AAAAAAAAAAAAAAAAALgIAAGRycy9lMm9Eb2MueG1sUEsB Ai0AFAAGAAgAAAAhAL6HOEPfAAAADQEAAA8AAAAAAAAAAAAAAAAAdwQAAGRycy9kb3ducmV2Lnht bFBLBQYAAAAABAAEAPMAAACDBQAAAAA= " strokeweight=".36pt">
                <w10:wrap anchorx="page"/>
              </v:line>
            </w:pict>
          </mc:Fallback>
        </mc:AlternateContent>
      </w:r>
      <w:r w:rsidRPr="00614F2F">
        <w:rPr>
          <w:rFonts w:ascii="Arial" w:hAnsi="Arial" w:cs="Arial"/>
          <w:sz w:val="24"/>
          <w:szCs w:val="24"/>
        </w:rPr>
        <w:t>El artículo 10 del Anteproyecto completa  la  transposición  del artículo 14.2 de la Directiva, fijando, en su apartado  1,  los criterios  sustantivos para el cálculo de la indemnización de daños y perjuicios que recoge la norma europea en el citado  precepto.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lastRenderedPageBreak/>
        <w:t>El apartado 2 completa las disposiciones de la Directiva con una referencia, a efectos procesales, a la legislación de protección de la propiedad industrial, en los siguientes términos:</w:t>
      </w:r>
    </w:p>
    <w:p w:rsidR="001201A2" w:rsidRPr="00614F2F" w:rsidRDefault="001201A2" w:rsidP="001201A2">
      <w:pPr>
        <w:spacing w:before="240" w:after="240"/>
        <w:jc w:val="both"/>
        <w:rPr>
          <w:rFonts w:ascii="Arial" w:hAnsi="Arial" w:cs="Arial"/>
          <w:i/>
          <w:sz w:val="24"/>
          <w:szCs w:val="24"/>
        </w:rPr>
      </w:pPr>
      <w:r w:rsidRPr="00614F2F">
        <w:rPr>
          <w:rFonts w:ascii="Arial" w:hAnsi="Arial" w:cs="Arial"/>
          <w:i/>
          <w:sz w:val="24"/>
          <w:szCs w:val="24"/>
        </w:rPr>
        <w:t>“En relación con el cálculo y liquidación de los daños y perjuicios, será de aplicación lo dispuesto en los artículos 73 y 74.5 de la Ley de Patentes”.</w:t>
      </w:r>
    </w:p>
    <w:p w:rsidR="001201A2" w:rsidRPr="00614F2F" w:rsidRDefault="001201A2" w:rsidP="001201A2">
      <w:pPr>
        <w:spacing w:before="240" w:after="240"/>
        <w:jc w:val="both"/>
        <w:rPr>
          <w:rFonts w:ascii="Arial" w:hAnsi="Arial" w:cs="Arial"/>
          <w:i/>
          <w:sz w:val="24"/>
          <w:szCs w:val="24"/>
        </w:rPr>
      </w:pPr>
      <w:r w:rsidRPr="00614F2F">
        <w:rPr>
          <w:rFonts w:ascii="Arial" w:hAnsi="Arial" w:cs="Arial"/>
          <w:sz w:val="24"/>
          <w:szCs w:val="24"/>
        </w:rPr>
        <w:t xml:space="preserve">El artículo 73 de la Ley de Patentes contiene las reglas sobre la exhibición de documentos para el cálculo de la indemnización, y el artículo 74 regula el cálculo de los daños y perjuicios y de las indemnizaciones coercitivas. Sin embargo, el Anteproyecto limita la remisión, en cuanto afecta a este artículo 74, exclusivamente a su apartado 5, pues, según indica la Memoria, </w:t>
      </w:r>
      <w:r w:rsidRPr="00614F2F">
        <w:rPr>
          <w:rFonts w:ascii="Arial" w:hAnsi="Arial" w:cs="Arial"/>
          <w:i/>
          <w:sz w:val="24"/>
          <w:szCs w:val="24"/>
        </w:rPr>
        <w:t>“el resto del art. 74 LP es específico para patentes y no parece razonable trasladarlo tal cual a secretos empresariales, donde hay criterios parcialmente diversos, que son además los marcados por la directiva”.</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En efecto, una remisión en bloque al conjunto del artículo 74 no es posible por las razones apuntadas; sin embargo, la referencia a su apartado 5 tampoco resulta totalmente satisfactoria desde un punto de vista de claridad y de seguridad jurídica. Dicho artículo 74.5 dispone lo siguiente: </w:t>
      </w:r>
      <w:r w:rsidRPr="00614F2F">
        <w:rPr>
          <w:rFonts w:ascii="Arial" w:hAnsi="Arial" w:cs="Arial"/>
          <w:i/>
          <w:sz w:val="24"/>
          <w:szCs w:val="24"/>
        </w:rPr>
        <w:t>“Las diligencias relativas al cálculo o cuantificación y liquidación de daños de acuerdo con los criterios establecidos en este artículo se llevarán a cabo a partir de las bases fijadas en la sentencia conforme al procedimiento previsto en el Capítulo IV del Título V del Libro III de la Ley de Enjuiciamiento Civil”.</w:t>
      </w:r>
      <w:r w:rsidRPr="00614F2F">
        <w:rPr>
          <w:rFonts w:ascii="Arial" w:hAnsi="Arial" w:cs="Arial"/>
          <w:sz w:val="24"/>
          <w:szCs w:val="24"/>
        </w:rPr>
        <w:t xml:space="preserve"> En la medida en que el precepto se remite a las reglas establecidas en la Ley de Enjuiciamiento Civil, parece más sencillo efectuar directamente una remisión a dicha norma </w:t>
      </w:r>
      <w:proofErr w:type="spellStart"/>
      <w:r w:rsidRPr="00614F2F">
        <w:rPr>
          <w:rFonts w:ascii="Arial" w:hAnsi="Arial" w:cs="Arial"/>
          <w:sz w:val="24"/>
          <w:szCs w:val="24"/>
        </w:rPr>
        <w:t>rituaria</w:t>
      </w:r>
      <w:proofErr w:type="spellEnd"/>
      <w:r w:rsidRPr="00614F2F">
        <w:rPr>
          <w:rFonts w:ascii="Arial" w:hAnsi="Arial" w:cs="Arial"/>
          <w:sz w:val="24"/>
          <w:szCs w:val="24"/>
        </w:rPr>
        <w:t xml:space="preserve"> en la Ley proyectada (tras la remisión al artículo 73 de la Ley de Patentes), lo que además evitará la confusión que puede introducir el hecho de que este apartado 5 se refiere a </w:t>
      </w:r>
      <w:r w:rsidRPr="00614F2F">
        <w:rPr>
          <w:rFonts w:ascii="Arial" w:hAnsi="Arial" w:cs="Arial"/>
          <w:i/>
          <w:sz w:val="24"/>
          <w:szCs w:val="24"/>
        </w:rPr>
        <w:t>“los criterios establecidos en este artículo”,</w:t>
      </w:r>
      <w:r w:rsidRPr="00614F2F">
        <w:rPr>
          <w:rFonts w:ascii="Arial" w:hAnsi="Arial" w:cs="Arial"/>
          <w:sz w:val="24"/>
          <w:szCs w:val="24"/>
        </w:rPr>
        <w:t xml:space="preserve"> en concreto en los apartados precedentes que, como se ha visto, no son de aplicación a los secretos empresariales.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En fin, sin perjuicio del indicado criterio de no trasladar en bloque la totalidad de los criterios del artículo 74 de la Ley de Patentes a este ámbito, podría valorarse la posibilidad de incorporar -reproduciéndolo expresamente- lo dispuesto en el apartado 1 de dicho artículo, de modo que la cuantía indemnizatoria pueda incluir los gastos de investigación en que se haya incurrido para obtener pruebas razonables de la comisión de la infracción objeto del procedimiento judicial.</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H) Artículo 11: Prescripción</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lastRenderedPageBreak/>
        <w:t xml:space="preserve">El artículo 11 del Anteproyecto establece, como plazo de prescripción de las acciones de defensa de los secretos empresariales, tres años contados </w:t>
      </w:r>
      <w:r w:rsidRPr="00614F2F">
        <w:rPr>
          <w:rFonts w:ascii="Arial" w:hAnsi="Arial" w:cs="Arial"/>
          <w:i/>
          <w:sz w:val="24"/>
          <w:szCs w:val="24"/>
        </w:rPr>
        <w:t>“desde el momento en que pudieron ejercitarse y el legitimado tuvo conocimiento de la persona que realizó la violación del secreto empresarial”,</w:t>
      </w:r>
      <w:r w:rsidRPr="00614F2F">
        <w:rPr>
          <w:rFonts w:ascii="Arial" w:hAnsi="Arial" w:cs="Arial"/>
          <w:sz w:val="24"/>
          <w:szCs w:val="24"/>
        </w:rPr>
        <w:t xml:space="preserve"> con posibilidad de interrupción por las causas previstas con carácter general en el Código civil.</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Esta duración de la prescripción, que en todo caso respeta el límite máximo de 6 años que fija el artículo 8 de la Directiva, ha sido objeto de discusión en el expediente. El Colegio Oficial de Ingenieros Industriales de Cataluña y la CEOE, por ejemplo, consideran dicho plazo insuficiente y sugieren que se eleve a cinco años, por coherencia con el plazo de prescripción de los delitos de los artículos 278 y 279 del Código Penal. </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A juicio del Consejo de Estado, sin embargo, es adecuado el plazo de tres años, como intermedio entre el previsto para las acciones de la Ley de Competencia Desleal (un año; frente a ella, el Anteproyecto se presenta como </w:t>
      </w:r>
      <w:proofErr w:type="spellStart"/>
      <w:r w:rsidRPr="00614F2F">
        <w:rPr>
          <w:rFonts w:ascii="Arial" w:hAnsi="Arial" w:cs="Arial"/>
          <w:i/>
          <w:sz w:val="24"/>
          <w:szCs w:val="24"/>
        </w:rPr>
        <w:t>lex</w:t>
      </w:r>
      <w:proofErr w:type="spellEnd"/>
      <w:r w:rsidRPr="00614F2F">
        <w:rPr>
          <w:rFonts w:ascii="Arial" w:hAnsi="Arial" w:cs="Arial"/>
          <w:i/>
          <w:sz w:val="24"/>
          <w:szCs w:val="24"/>
        </w:rPr>
        <w:t xml:space="preserve"> </w:t>
      </w:r>
      <w:proofErr w:type="spellStart"/>
      <w:r w:rsidRPr="00614F2F">
        <w:rPr>
          <w:rFonts w:ascii="Arial" w:hAnsi="Arial" w:cs="Arial"/>
          <w:i/>
          <w:sz w:val="24"/>
          <w:szCs w:val="24"/>
        </w:rPr>
        <w:t>specialis</w:t>
      </w:r>
      <w:proofErr w:type="spellEnd"/>
      <w:r w:rsidRPr="00614F2F">
        <w:rPr>
          <w:rFonts w:ascii="Arial" w:hAnsi="Arial" w:cs="Arial"/>
          <w:sz w:val="24"/>
          <w:szCs w:val="24"/>
        </w:rPr>
        <w:t xml:space="preserve"> de protección más intensa) y el establecido en la Ley de Patentes (cinco años; esta legislación de propiedad industrial contiene instrumentos de tutela más potentes a los de los secretos empresariales). Cabe, por el contrario, formular una observación en relación con el doble </w:t>
      </w:r>
      <w:proofErr w:type="spellStart"/>
      <w:r w:rsidRPr="00614F2F">
        <w:rPr>
          <w:rFonts w:ascii="Arial" w:hAnsi="Arial" w:cs="Arial"/>
          <w:i/>
          <w:sz w:val="24"/>
          <w:szCs w:val="24"/>
        </w:rPr>
        <w:t>dies</w:t>
      </w:r>
      <w:proofErr w:type="spellEnd"/>
      <w:r w:rsidRPr="00614F2F">
        <w:rPr>
          <w:rFonts w:ascii="Arial" w:hAnsi="Arial" w:cs="Arial"/>
          <w:i/>
          <w:sz w:val="24"/>
          <w:szCs w:val="24"/>
        </w:rPr>
        <w:t xml:space="preserve"> a quo</w:t>
      </w:r>
      <w:r w:rsidRPr="00614F2F">
        <w:rPr>
          <w:rFonts w:ascii="Arial" w:hAnsi="Arial" w:cs="Arial"/>
          <w:sz w:val="24"/>
          <w:szCs w:val="24"/>
        </w:rPr>
        <w:t xml:space="preserve"> que establece el Anteproyecto </w:t>
      </w:r>
      <w:r w:rsidRPr="00614F2F">
        <w:rPr>
          <w:rFonts w:ascii="Arial" w:hAnsi="Arial" w:cs="Arial"/>
          <w:i/>
          <w:sz w:val="24"/>
          <w:szCs w:val="24"/>
        </w:rPr>
        <w:t>(“desde el momento en que pudieron ejercitarse y el legitimado tuvo conocimiento de la persona que realizó la violación del secreto empresarial”)</w:t>
      </w:r>
      <w:r w:rsidRPr="00614F2F">
        <w:rPr>
          <w:rFonts w:ascii="Arial" w:hAnsi="Arial" w:cs="Arial"/>
          <w:sz w:val="24"/>
          <w:szCs w:val="24"/>
        </w:rPr>
        <w:t xml:space="preserve">, fórmula que ha sido criticado en el expediente por el Consejo General del Poder Judicial. Ciertamente, la Directiva deja a los Estados miembros un amplio margen de maniobra para la determinación de ese momento de inicio del cómputo de la prescripción y de las circunstancias que dan lugar a su interrupción o suspensión (artículo 8.1, párrafo segundo, de la Directiva); el referido </w:t>
      </w:r>
      <w:proofErr w:type="spellStart"/>
      <w:r w:rsidRPr="00614F2F">
        <w:rPr>
          <w:rFonts w:ascii="Arial" w:hAnsi="Arial" w:cs="Arial"/>
          <w:i/>
          <w:sz w:val="24"/>
          <w:szCs w:val="24"/>
        </w:rPr>
        <w:t>dies</w:t>
      </w:r>
      <w:proofErr w:type="spellEnd"/>
      <w:r w:rsidRPr="00614F2F">
        <w:rPr>
          <w:rFonts w:ascii="Arial" w:hAnsi="Arial" w:cs="Arial"/>
          <w:i/>
          <w:sz w:val="24"/>
          <w:szCs w:val="24"/>
        </w:rPr>
        <w:t xml:space="preserve"> a quo </w:t>
      </w:r>
      <w:r w:rsidRPr="00614F2F">
        <w:rPr>
          <w:rFonts w:ascii="Arial" w:hAnsi="Arial" w:cs="Arial"/>
          <w:sz w:val="24"/>
          <w:szCs w:val="24"/>
        </w:rPr>
        <w:t xml:space="preserve">es, por lo demás, idéntico al establecido en el artículo 35 de la Ley de Competencia Desleal. Sin embargo, ese doble criterio (subjetivo y objetivo) podría en ocasiones resultar incoherente y en todo caso, al emplearse la conjunción “y”, hará que esperar al referido conocimiento del responsable de la violación; por ello, parece preferible optar por mantener únicamente el criterio subjetivo </w:t>
      </w:r>
      <w:r w:rsidRPr="00614F2F">
        <w:rPr>
          <w:rFonts w:ascii="Arial" w:hAnsi="Arial" w:cs="Arial"/>
          <w:i/>
          <w:sz w:val="24"/>
          <w:szCs w:val="24"/>
        </w:rPr>
        <w:t>(“desde que el legitimado tuvo conocimiento de la persona que realizó la violación del secreto empresarial”),</w:t>
      </w:r>
      <w:r w:rsidRPr="00614F2F">
        <w:rPr>
          <w:rFonts w:ascii="Arial" w:hAnsi="Arial" w:cs="Arial"/>
          <w:sz w:val="24"/>
          <w:szCs w:val="24"/>
        </w:rPr>
        <w:t xml:space="preserve"> que resulta más congruente con el plazo corto de prescripción (3 años) que establece el Anteproyecto.</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I) Artículo 13: Legitimación para el ejercicio de las  acciones</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mc:AlternateContent>
          <mc:Choice Requires="wps">
            <w:drawing>
              <wp:anchor distT="0" distB="0" distL="114300" distR="114300" simplePos="0" relativeHeight="251670528" behindDoc="0" locked="0" layoutInCell="1" allowOverlap="1" wp14:anchorId="13E668F6" wp14:editId="09556E6D">
                <wp:simplePos x="0" y="0"/>
                <wp:positionH relativeFrom="page">
                  <wp:posOffset>7529830</wp:posOffset>
                </wp:positionH>
                <wp:positionV relativeFrom="paragraph">
                  <wp:posOffset>1308735</wp:posOffset>
                </wp:positionV>
                <wp:extent cx="0" cy="0"/>
                <wp:effectExtent l="5080" t="470535" r="13970" b="467360"/>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2.9pt,103.05pt" to="592.9pt,10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WH7HQIAAEcEAAAOAAAAZHJzL2Uyb0RvYy54bWysU8GO2yAQvVfqPyDuie2smyZWnFVlJ71s u5F2+wEEcIyKAQGJE1X99w44jrLtparqAx6Y4fFm5s3q8dxJdOLWCa1KnE1TjLiimgl1KPG31+1k gZHzRDEiteIlvnCHH9fv3616U/CZbrVk3CIAUa7oTYlb702RJI62vCNuqg1X4Gy07YiHrT0kzJIe 0DuZzNJ0nvTaMmM15c7BaT048TriNw2n/rlpHPdIlhi4+bjauO7DmqxXpDhYYlpBrzTIP7DoiFDw 6A2qJp6goxV/QHWCWu1046dUd4luGkF5zAGyydLfsnlpieExFyiOM7cyuf8HS7+edhYJVuLZA0aK dNCjCjpFvbbIhh8CB1SpN66A4ErtbMiTntWLedL0u0NKVy1RBx7Zvl4MIGThRvLmStg4A2/t+y+a QQw5eh1Ldm5sFyChGOgcO3O5dYafPaLDIR1PE1KMV4x1/jPXHQpGiaVQoVykIKcn5wMFUowh4Vjp rZAytlwq1Jd4meV5vOC0FCw4Q5izh30lLTqRIJr4xXzAcx8WkGvi2iEuugY5WX1ULL7ScsI2V9sT IQcbWEkVHoLsgOfVGuTyY5kuN4vNIp/ks/lmkqd1Pfm0rfLJfJt9/FA/1FVVZz8D5ywvWsEYV4H2 KN0s/ztpXIdoEN1NvLf6JG/RYyGB7PiPpGN7Q0cHbew1u+zs2HZQawy+TlYYh/s92Pfzv/4FAAD/ /wMAUEsDBBQABgAIAAAAIQCorIbb2wAAAA0BAAAPAAAAZHJzL2Rvd25yZXYueG1sTI/BTsMwEETv SPyDtUjcqJNKhCrEqVAVLogDBD7AjZfYIl5H8bYJ/XpcgQTHmR3Nvqm2ix/EEafoAinIVxkIpC4Y R72C97fHmw2IyJqMHgKhgi+MsK0vLypdmjDTKx5b7kUqoVhqBZZ5LKWMnUWv4yqMSOn2ESavOcmp l2bScyr3g1xnWSG9dpQ+WD3izmL32R68gvbleS6eTqe5uWudjszONs1Oqeur5eEeBOPCf2E44yd0 qBPTPhzIRDEknW9uEzsrWGdFDuIc+bH2v5asK/l/Rf0NAAD//wMAUEsBAi0AFAAGAAgAAAAhALaD OJL+AAAA4QEAABMAAAAAAAAAAAAAAAAAAAAAAFtDb250ZW50X1R5cGVzXS54bWxQSwECLQAUAAYA CAAAACEAOP0h/9YAAACUAQAACwAAAAAAAAAAAAAAAAAvAQAAX3JlbHMvLnJlbHNQSwECLQAUAAYA CAAAACEAMi1h+x0CAABHBAAADgAAAAAAAAAAAAAAAAAuAgAAZHJzL2Uyb0RvYy54bWxQSwECLQAU AAYACAAAACEAqKyG29sAAAANAQAADwAAAAAAAAAAAAAAAAB3BAAAZHJzL2Rvd25yZXYueG1sUEsF BgAAAAAEAAQA8wAAAH8FAAAAAA== " strokeweight=".72pt">
                <w10:wrap anchorx="page"/>
              </v:line>
            </w:pict>
          </mc:Fallback>
        </mc:AlternateContent>
      </w:r>
      <w:r w:rsidRPr="00614F2F">
        <w:rPr>
          <w:rFonts w:ascii="Arial" w:hAnsi="Arial" w:cs="Arial"/>
          <w:sz w:val="24"/>
          <w:szCs w:val="24"/>
        </w:rPr>
        <w:t xml:space="preserve">Merece también alguna reflexión, por haber suscitado observaciones en el trámite de audiencia pública, la redacción del artículo 13 del Anteproyecto, que regula la legitimación para el ejercicio de las acciones de defensa de los secretos empresariales </w:t>
      </w:r>
      <w:proofErr w:type="gramStart"/>
      <w:r w:rsidRPr="00614F2F">
        <w:rPr>
          <w:rFonts w:ascii="Arial" w:hAnsi="Arial" w:cs="Arial"/>
          <w:sz w:val="24"/>
          <w:szCs w:val="24"/>
        </w:rPr>
        <w:t>previstas</w:t>
      </w:r>
      <w:proofErr w:type="gramEnd"/>
      <w:r w:rsidRPr="00614F2F">
        <w:rPr>
          <w:rFonts w:ascii="Arial" w:hAnsi="Arial" w:cs="Arial"/>
          <w:sz w:val="24"/>
          <w:szCs w:val="24"/>
        </w:rPr>
        <w:t xml:space="preserve"> en el mismo texto legal.</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w:lastRenderedPageBreak/>
        <mc:AlternateContent>
          <mc:Choice Requires="wps">
            <w:drawing>
              <wp:anchor distT="0" distB="0" distL="114300" distR="114300" simplePos="0" relativeHeight="251671552" behindDoc="0" locked="0" layoutInCell="1" allowOverlap="1" wp14:anchorId="5C791A07" wp14:editId="2CE861D3">
                <wp:simplePos x="0" y="0"/>
                <wp:positionH relativeFrom="page">
                  <wp:posOffset>7541260</wp:posOffset>
                </wp:positionH>
                <wp:positionV relativeFrom="paragraph">
                  <wp:posOffset>-2430780</wp:posOffset>
                </wp:positionV>
                <wp:extent cx="5080" cy="4467225"/>
                <wp:effectExtent l="6985" t="0" r="6985" b="3145155"/>
                <wp:wrapNone/>
                <wp:docPr id="22" name="Forma lib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4467225"/>
                        </a:xfrm>
                        <a:custGeom>
                          <a:avLst/>
                          <a:gdLst>
                            <a:gd name="T0" fmla="+- 0 11884 11876"/>
                            <a:gd name="T1" fmla="*/ T0 w 8"/>
                            <a:gd name="T2" fmla="+- 0 5323 -3828"/>
                            <a:gd name="T3" fmla="*/ 5323 h 7035"/>
                            <a:gd name="T4" fmla="+- 0 11884 11876"/>
                            <a:gd name="T5" fmla="*/ T4 w 8"/>
                            <a:gd name="T6" fmla="+- 0 1111 -3828"/>
                            <a:gd name="T7" fmla="*/ 1111 h 7035"/>
                            <a:gd name="T8" fmla="+- 0 11876 11876"/>
                            <a:gd name="T9" fmla="*/ T8 w 8"/>
                            <a:gd name="T10" fmla="+- 0 8145 -3828"/>
                            <a:gd name="T11" fmla="*/ 8145 h 7035"/>
                            <a:gd name="T12" fmla="+- 0 11876 11876"/>
                            <a:gd name="T13" fmla="*/ T12 w 8"/>
                            <a:gd name="T14" fmla="+- 0 5308 -3828"/>
                            <a:gd name="T15" fmla="*/ 5308 h 7035"/>
                          </a:gdLst>
                          <a:ahLst/>
                          <a:cxnLst>
                            <a:cxn ang="0">
                              <a:pos x="T1" y="T3"/>
                            </a:cxn>
                            <a:cxn ang="0">
                              <a:pos x="T5" y="T7"/>
                            </a:cxn>
                            <a:cxn ang="0">
                              <a:pos x="T9" y="T11"/>
                            </a:cxn>
                            <a:cxn ang="0">
                              <a:pos x="T13" y="T15"/>
                            </a:cxn>
                          </a:cxnLst>
                          <a:rect l="0" t="0" r="r" b="b"/>
                          <a:pathLst>
                            <a:path w="8" h="7035">
                              <a:moveTo>
                                <a:pt x="8" y="9151"/>
                              </a:moveTo>
                              <a:lnTo>
                                <a:pt x="8" y="4939"/>
                              </a:lnTo>
                              <a:moveTo>
                                <a:pt x="0" y="11973"/>
                              </a:moveTo>
                              <a:lnTo>
                                <a:pt x="0" y="91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2" o:spid="_x0000_s1026" style="position:absolute;margin-left:593.8pt;margin-top:-191.4pt;width:.4pt;height:351.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0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9C8grwMAADsJAAAOAAAAZHJzL2Uyb0RvYy54bWysVlGPozYQfq/U/2D5sVUWDCSBaNnTKdlU la7tSZf+AAdMQAWb2k7IXtX/3vEACdnNXU9VeQCb+Rh/38zYw+O7c1OTk9CmUjKl7MGnRMhM5ZU8 pPT33XYWU2IslzmvlRQpfRGGvnv6/rvHrl2JQJWqzoUm4ESaVdemtLS2XXmeyUrRcPOgWiHBWCjd cAtTffByzTvw3tRe4PsLr1M6b7XKhDHwdtMb6RP6LwqR2d+KwghL6pQCN4t3jfe9u3tPj3x10Lwt q2ygwf8Di4ZXEha9uNpwy8lRV29cNVWmlVGFfchU46miqDKBGkAN81+p+VTyVqAWCI5pL2Ey/5/b 7NfTR02qPKVBQInkDeRo66JN6mqvBYG3EKKuNStAfmo/aifStB9U9ocBg3djcRMDGLLvflE5eOJH qzAs50I37ksQTM4Y/ZdL9MXZkgxezv0YMpSBIYoWyyCYu5U9vhq/zY7G/iQU+uGnD8b2ucthhJHP B/o78FI0NaTxxxnxCWNxHLn7cjFk+wJkI/AHj+x80pH4NQJiMnE1D4OQzMI4eIMLRxx4QlRJln6I CqAmLgtGI+zfmM1HoGMW3WO2GBGDK8buM1uOOPDE4CL3mcE2nQjFaN2PWTICHbP4HjN2G/+YRfP7 1Ng0/gi7z43dZuEr5Ng0DzsW3KV3m4R56MdfoDdNAsKu9KAsD2Ph8XKsxewsh2KEEeHuCPSx/Ftl XNnvQDCU9y4cKhtQrnK/AIblHXj5TWBIiwNDSPtN83XXLk4IH/cYwkEUPAcFGo7O14empgQOzX2/ SVpunXAnwA1Jl1IoojKlWPjudaNOYqcQYJ18MMOiCZuPJK+AWr4FRkmYDGpG8/WDFj1CpYFHxpLl GNIrYvxmikxYiIcAKO3NMHDk8Zy5CHJxmJw1Um2rusbDppZOZjRfBphWo+oqd0an0ejDfl1rcuKu 1eA1sL+BtdrYDTdlj0NTH0+tjjLHVUrB8+dhbHlV92Pk7BaC83KIuzs5scn8lfjJc/wcR7MoWDzP In+zmb3frqPZYsuW8024Wa837G/HmUWrsspzIR3tseGx6NsaytB6+1Z1aXk38m6isMXrbRS8WxoY fdAyPlEddhbXTPrus1f5CzQWrfoODn8cMCiV/kxJB907pebPI9eCkvpnCe0xYVEExWFx4vIFEz21 7KcWLjNwlVJLYdO64dr2vwjHVleHElZimG+p3kNDKyrXeZBfz2qYQIdGBcPfhPsFmM4Rdf3nefoH AAD//wMAUEsDBBQABgAIAAAAIQCqIbBD4gAAAA4BAAAPAAAAZHJzL2Rvd25yZXYueG1sTI9RS8Mw FIXfBf9DuIJvW9pO2libDlEKgqI49T1rYlvW3HRJttV/792TPh7ux7nfqdazHdnR+DA4lJAuE2AG W6cH7CR8fjQLASxEhVqNDo2EHxNgXV9eVKrU7oTv5riJHaMSDKWS0Mc4lZyHtjdWhaWbDNLt23mr IkXfce3VicrtyLMkyblVA9KHXk3moTftbnOwEh4Lv2+y16fnr1vf7F782z6PIpfy+mq+vwMWzRz/ YDjrkzrU5LR1B9SBjZRTUeTESlisREYrzkwqxA2wrYRVlhTA64r/n1H/AgAA//8DAFBLAQItABQA BgAIAAAAIQC2gziS/gAAAOEBAAATAAAAAAAAAAAAAAAAAAAAAABbQ29udGVudF9UeXBlc10ueG1s UEsBAi0AFAAGAAgAAAAhADj9If/WAAAAlAEAAAsAAAAAAAAAAAAAAAAALwEAAF9yZWxzLy5yZWxz UEsBAi0AFAAGAAgAAAAhADr0LyCvAwAAOwkAAA4AAAAAAAAAAAAAAAAALgIAAGRycy9lMm9Eb2Mu eG1sUEsBAi0AFAAGAAgAAAAhAKohsEPiAAAADgEAAA8AAAAAAAAAAAAAAAAACQYAAGRycy9kb3du cmV2LnhtbFBLBQYAAAAABAAEAPMAAAAYBwAAAAA= " path="m8,9151l8,4939m,11973l,9136e" filled="f" strokeweight=".36pt">
                <v:path arrowok="t" o:connecttype="custom" o:connectlocs="5080,3380105;5080,705485;0,5172075;0,3370580" o:connectangles="0,0,0,0"/>
                <w10:wrap anchorx="page"/>
              </v:shape>
            </w:pict>
          </mc:Fallback>
        </mc:AlternateContent>
      </w:r>
      <w:r w:rsidRPr="00614F2F">
        <w:rPr>
          <w:rFonts w:ascii="Arial" w:hAnsi="Arial" w:cs="Arial"/>
          <w:sz w:val="24"/>
          <w:szCs w:val="24"/>
        </w:rPr>
        <w:t xml:space="preserve">Comienza el precepto atribuyendo con carácter general esa legitimación al titular del secreto empresarial, tal y como exige el artículo 4.1 de la Directiva </w:t>
      </w:r>
      <w:r w:rsidRPr="00614F2F">
        <w:rPr>
          <w:rFonts w:ascii="Arial" w:hAnsi="Arial" w:cs="Arial"/>
          <w:i/>
          <w:sz w:val="24"/>
          <w:szCs w:val="24"/>
        </w:rPr>
        <w:t xml:space="preserve">("Los Estados miembros garantizarán que los poseedores de secretos comerciales tengan derecho </w:t>
      </w:r>
      <w:r w:rsidRPr="00614F2F">
        <w:rPr>
          <w:rFonts w:ascii="Arial" w:hAnsi="Arial" w:cs="Arial"/>
          <w:sz w:val="24"/>
          <w:szCs w:val="24"/>
        </w:rPr>
        <w:t xml:space="preserve">a </w:t>
      </w:r>
      <w:r w:rsidRPr="00614F2F">
        <w:rPr>
          <w:rFonts w:ascii="Arial" w:hAnsi="Arial" w:cs="Arial"/>
          <w:i/>
          <w:sz w:val="24"/>
          <w:szCs w:val="24"/>
        </w:rPr>
        <w:t>solicitar las medidas, procedimientos y recursos previstos en la presente Directiva (</w:t>
      </w:r>
      <w:proofErr w:type="gramStart"/>
      <w:r w:rsidRPr="00614F2F">
        <w:rPr>
          <w:rFonts w:ascii="Arial" w:hAnsi="Arial" w:cs="Arial"/>
          <w:i/>
          <w:sz w:val="24"/>
          <w:szCs w:val="24"/>
        </w:rPr>
        <w:t>. ..)</w:t>
      </w:r>
      <w:proofErr w:type="gramEnd"/>
      <w:r w:rsidRPr="00614F2F">
        <w:rPr>
          <w:rFonts w:ascii="Arial" w:hAnsi="Arial" w:cs="Arial"/>
          <w:i/>
          <w:sz w:val="24"/>
          <w:szCs w:val="24"/>
        </w:rPr>
        <w:t xml:space="preserve">'?. </w:t>
      </w:r>
      <w:r w:rsidRPr="00614F2F">
        <w:rPr>
          <w:rFonts w:ascii="Arial" w:hAnsi="Arial" w:cs="Arial"/>
          <w:sz w:val="24"/>
          <w:szCs w:val="24"/>
        </w:rPr>
        <w:t>Esta previsión no excluye, sin embargo,  la  posibilidad  de  extender  esa  legitimación  a  otras  personas, en particular a los licenciatarios, y así lo hace el artículo 13 del Anteproyecto, en términos semejantes a los del artículo 117 de la Ley de Patentes, si bien con algunas diferencias.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En particular, frente a la Ley de Patentes, que legitima al titular de una licencia exclusiva para el ejercicio de las acciones propias del titular de la patente salvo pacto en contrario, el Anteproyecto establece que estarán legitimados quienes acrediten haber obtenido una licencia exclusiva o no exclusiva para la explotación del secreto empresarial de que se trate, siempre que ésta les autorice expresamente a dicho ejercicio (apartado 1). En el resto de casos, el licenciatario dispone de una legitimación de segundo grado en caso de inactividad del titular, posibilidad que se regula de forma paralela a lo dispuesto en el referido artículo 117 de la Ley de Patentes (apartados 2 y 3 del artículo 13 del Anteproyecto).</w:t>
      </w:r>
    </w:p>
    <w:p w:rsidR="001201A2" w:rsidRPr="00614F2F" w:rsidRDefault="001201A2" w:rsidP="001201A2">
      <w:pPr>
        <w:spacing w:before="240" w:after="240"/>
        <w:jc w:val="both"/>
        <w:rPr>
          <w:rFonts w:ascii="Arial" w:hAnsi="Arial" w:cs="Arial"/>
          <w:sz w:val="24"/>
          <w:szCs w:val="24"/>
        </w:rPr>
      </w:pPr>
      <w:r w:rsidRPr="00614F2F">
        <w:rPr>
          <w:rFonts w:ascii="Arial" w:hAnsi="Arial" w:cs="Arial"/>
          <w:noProof/>
          <w:sz w:val="24"/>
          <w:szCs w:val="24"/>
          <w:lang w:eastAsia="es-ES"/>
        </w:rPr>
        <mc:AlternateContent>
          <mc:Choice Requires="wps">
            <w:drawing>
              <wp:anchor distT="0" distB="0" distL="114300" distR="114300" simplePos="0" relativeHeight="251669504" behindDoc="0" locked="0" layoutInCell="1" allowOverlap="1" wp14:anchorId="02C59B04" wp14:editId="71D898B4">
                <wp:simplePos x="0" y="0"/>
                <wp:positionH relativeFrom="page">
                  <wp:posOffset>7546340</wp:posOffset>
                </wp:positionH>
                <wp:positionV relativeFrom="paragraph">
                  <wp:posOffset>1455420</wp:posOffset>
                </wp:positionV>
                <wp:extent cx="0" cy="0"/>
                <wp:effectExtent l="12065" t="1331595" r="6985" b="133286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2pt,114.6pt" to="594.2pt,1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5kneHwIAAEcEAAAOAAAAZHJzL2Uyb0RvYy54bWysU9Fu2yAUfZ+0f0C8p7Yzt02tOtVkJ3vp tkjtPoAAjtEwFwGNE037911wkq3byzTNDxi4l8O55x7uHw6DJnvpvAJT0+Iqp0QaDkKZXU2/PK9n C0p8YEYwDUbW9Cg9fVi+fXM/2krOoQctpCMIYnw12pr2Idgqyzzv5cD8FVhpMNiBG1jApdtlwrER 0QedzfP8JhvBCeuAS+9xt52CdJnwu07y8LnrvAxE1xS5hTS6NG7jmC3vWbVzzPaKn2iwf2AxMGXw 0gtUywIjL079ATUo7sBDF644DBl0neIy1YDVFPlv1Tz1zMpUC4rj7UUm//9g+af9xhElajovKDFs wB412CkewBEXfwQDqNJofYXJjdm4WCc/mCf7CPyrJwaanpmdTGyfjxYR0ons1ZG48Bbv2o4fQWAO ewmQJDt0boiQKAY5pM4cL52Rh0D4tMnPuxmrzkes8+GDhIHESU21MlEuVrH9ow9IGlPPKXHbwFpp nVquDRlrWl7fztMBD1qJGIxp3u22jXZkz6Jp0hcVQLBXaRG5Zb6f8lJospODFyPSLb1kYnWaB6b0 NEcgbeJFWB3yPM0mu3y7y+9Wi9WinJXzm9WszNt29n7dlLObdXF73b5rm6YtvkfORVn1SghpIu2z dYvy76xxekST6S7mveiTvUZPtSPZ8z+RTu2NHZ28sQVx3LgoU+w0ujUln15WfA6/rlPWz/e//AEA AP//AwBQSwMEFAAGAAgAAAAhACEGEFHeAAAADQEAAA8AAABkcnMvZG93bnJldi54bWxMj1FLwzAU hd8F/0O4gm8uaRCptemYgzFEEa2CPqbNXVtsbkqTbXW/3gwH+njO/Tj3nHw+2Z7tcPSdIwXJTABD qp3pqFHw/ra6SoH5oMno3hEq+EYP8+L8LNeZcXt6xV0ZGhZDyGdaQRvCkHHu6xat9jM3IMXbxo1W hyjHhptR72O47bkU4oZb3VH80OoBly3WX+XWKijF08PyQz6KSh5W98knrV/oea3U5cW0uAMWcAp/ MBzrx+pQxE6V25LxrI86SdPryCqQ8lYCOyK/VnWyeJHz/yuKHwAAAP//AwBQSwECLQAUAAYACAAA ACEAtoM4kv4AAADhAQAAEwAAAAAAAAAAAAAAAAAAAAAAW0NvbnRlbnRfVHlwZXNdLnhtbFBLAQIt ABQABgAIAAAAIQA4/SH/1gAAAJQBAAALAAAAAAAAAAAAAAAAAC8BAABfcmVscy8ucmVsc1BLAQIt ABQABgAIAAAAIQAX5kneHwIAAEcEAAAOAAAAAAAAAAAAAAAAAC4CAABkcnMvZTJvRG9jLnhtbFBL AQItABQABgAIAAAAIQAhBhBR3gAAAA0BAAAPAAAAAAAAAAAAAAAAAHkEAABkcnMvZG93bnJldi54 bWxQSwUGAAAAAAQABADzAAAAhAUAAAAA " strokeweight=".36pt">
                <w10:wrap anchorx="page"/>
              </v:line>
            </w:pict>
          </mc:Fallback>
        </mc:AlternateContent>
      </w:r>
      <w:r w:rsidRPr="00614F2F">
        <w:rPr>
          <w:rFonts w:ascii="Arial" w:hAnsi="Arial" w:cs="Arial"/>
          <w:sz w:val="24"/>
          <w:szCs w:val="24"/>
        </w:rPr>
        <w:t xml:space="preserve">No parece adecuado en este caso articular, como sugiere la Comisión Nacional de los Mercados y la Competencia, una acción pública, dado que, como recuerda la Memoria, el valor de </w:t>
      </w:r>
      <w:proofErr w:type="spellStart"/>
      <w:r w:rsidRPr="00614F2F">
        <w:rPr>
          <w:rFonts w:ascii="Arial" w:hAnsi="Arial" w:cs="Arial"/>
          <w:sz w:val="24"/>
          <w:szCs w:val="24"/>
        </w:rPr>
        <w:t>de</w:t>
      </w:r>
      <w:proofErr w:type="spellEnd"/>
      <w:r w:rsidRPr="00614F2F">
        <w:rPr>
          <w:rFonts w:ascii="Arial" w:hAnsi="Arial" w:cs="Arial"/>
          <w:sz w:val="24"/>
          <w:szCs w:val="24"/>
        </w:rPr>
        <w:t xml:space="preserve"> un secreto empresarial </w:t>
      </w:r>
      <w:r w:rsidRPr="00614F2F">
        <w:rPr>
          <w:rFonts w:ascii="Arial" w:hAnsi="Arial" w:cs="Arial"/>
          <w:i/>
          <w:sz w:val="24"/>
          <w:szCs w:val="24"/>
        </w:rPr>
        <w:t>"reside precisamente en que éste sea mantenido como tal y todo procedimiento conlleva un riesgo de revelación a pesar de las cautelas que puedan adoptarse".</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J) Artículo 15: Tratamiento de la información que pueda constituir secreto empresarial</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El artículo 15 del Anteproyecto incorpora las capitales disposiciones procesales del artículo 9 de la Directiva, orientadas a preservar la confidencialidad de los secretos empresariales durante el proceso judicial. Estas disposiciones constituyen una excepción a las reglas generales de información sobre las actuaciones, contenidas en el artículo 140 de la Ley de Enjuiciamiento Civil. La opción normativa por elaborar una ley especial justifica, sin embargo, la incorporación de estas previsiones en este nuevo texto legal.</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La transposición del citado artículo 9 es, en </w:t>
      </w:r>
      <w:proofErr w:type="gramStart"/>
      <w:r w:rsidRPr="00614F2F">
        <w:rPr>
          <w:rFonts w:ascii="Arial" w:hAnsi="Arial" w:cs="Arial"/>
          <w:sz w:val="24"/>
          <w:szCs w:val="24"/>
        </w:rPr>
        <w:t>líneas generales, completa y correcta</w:t>
      </w:r>
      <w:proofErr w:type="gramEnd"/>
      <w:r w:rsidRPr="00614F2F">
        <w:rPr>
          <w:rFonts w:ascii="Arial" w:hAnsi="Arial" w:cs="Arial"/>
          <w:sz w:val="24"/>
          <w:szCs w:val="24"/>
        </w:rPr>
        <w:t xml:space="preserve">. En algunos puntos, el Anteproyecto extiende incluso la protección prevista en la Directiva, lo que es respetuoso con su condición de norma de mínimos, al haberse garantizado el cumplimiento del artículo 9, apartado 1, </w:t>
      </w:r>
      <w:r w:rsidRPr="00614F2F">
        <w:rPr>
          <w:rFonts w:ascii="Arial" w:hAnsi="Arial" w:cs="Arial"/>
          <w:sz w:val="24"/>
          <w:szCs w:val="24"/>
        </w:rPr>
        <w:lastRenderedPageBreak/>
        <w:t>párrafo segundo, y de los apartados 3 y 4, tal y como exige el artículo 1.1 de la misma norma europea. Se extiende así, por ejemplo la posibilidad de adopción de medidas para preservar la confidencialidad de las informaciones que puedan constituir secretos empresariales no sólo a los procedimientos relativos a la violación de estos, sino a todo procedimiento en el que sea necesaria su consideración para resolver sobre el fondo (artículo 15.2 del Anteproyecto).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Dada la existencia de normas aplicables con carácter general en esta materia, contenidas en el artículo 140 de la Ley de Enjuiciamiento Civil, cabría  valorar  la posibilidad  de efectuar  una remisión,  en dicha  norma legal, para </w:t>
      </w:r>
      <w:proofErr w:type="gramStart"/>
      <w:r w:rsidRPr="00614F2F">
        <w:rPr>
          <w:rFonts w:ascii="Arial" w:hAnsi="Arial" w:cs="Arial"/>
          <w:sz w:val="24"/>
          <w:szCs w:val="24"/>
        </w:rPr>
        <w:t>cualquiera procedimientos</w:t>
      </w:r>
      <w:proofErr w:type="gramEnd"/>
      <w:r w:rsidRPr="00614F2F">
        <w:rPr>
          <w:rFonts w:ascii="Arial" w:hAnsi="Arial" w:cs="Arial"/>
          <w:sz w:val="24"/>
          <w:szCs w:val="24"/>
        </w:rPr>
        <w:t xml:space="preserve"> en que sea necesaria la consideración de este tipo de secretos.</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K) Artículo 20: Posibles medidas cautelares</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El artículo 20 del Anteproyecto lleva a cabo la transposición del artículo 10.1 de la Directiva, relativo a la adopción de medidas cautelares, añadiendo al elenco de las allí recogidas el embargo preventivo de bienes, que la Directiva no contempla, y, en general, cualesquiera medidas </w:t>
      </w:r>
      <w:r w:rsidRPr="00614F2F">
        <w:rPr>
          <w:rFonts w:ascii="Arial" w:hAnsi="Arial" w:cs="Arial"/>
          <w:i/>
          <w:sz w:val="24"/>
          <w:szCs w:val="24"/>
        </w:rPr>
        <w:t xml:space="preserve">"que aseguren debidamente la completa efectividad del eventual fallo que en su día recaiga", </w:t>
      </w:r>
      <w:r w:rsidRPr="00614F2F">
        <w:rPr>
          <w:rFonts w:ascii="Arial" w:hAnsi="Arial" w:cs="Arial"/>
          <w:sz w:val="24"/>
          <w:szCs w:val="24"/>
        </w:rPr>
        <w:t>redacción que debe valorarse positivamente, en la medida en que extiende la protección prevista en la norma europea.</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t>VALORACIÓN: Se acepta</w:t>
      </w:r>
    </w:p>
    <w:p w:rsidR="001201A2" w:rsidRPr="001201A2" w:rsidRDefault="001201A2" w:rsidP="001201A2">
      <w:pPr>
        <w:spacing w:before="240" w:after="240"/>
        <w:jc w:val="both"/>
        <w:rPr>
          <w:rFonts w:ascii="Arial" w:hAnsi="Arial" w:cs="Arial"/>
          <w:b/>
          <w:sz w:val="24"/>
          <w:szCs w:val="24"/>
        </w:rPr>
      </w:pPr>
      <w:r w:rsidRPr="001201A2">
        <w:rPr>
          <w:rFonts w:ascii="Arial" w:hAnsi="Arial" w:cs="Arial"/>
          <w:b/>
          <w:sz w:val="24"/>
          <w:szCs w:val="24"/>
        </w:rPr>
        <w:t>L) Artículo 22: Solicitud de caución sustitutoria por el demandado</w:t>
      </w:r>
    </w:p>
    <w:p w:rsidR="001201A2" w:rsidRPr="00614F2F" w:rsidRDefault="001201A2" w:rsidP="001201A2">
      <w:pPr>
        <w:spacing w:before="240" w:after="240"/>
        <w:jc w:val="both"/>
        <w:rPr>
          <w:rFonts w:ascii="Arial" w:hAnsi="Arial" w:cs="Arial"/>
          <w:sz w:val="24"/>
          <w:szCs w:val="24"/>
        </w:rPr>
      </w:pPr>
      <w:r w:rsidRPr="00614F2F">
        <w:rPr>
          <w:rFonts w:ascii="Arial" w:hAnsi="Arial" w:cs="Arial"/>
          <w:sz w:val="24"/>
          <w:szCs w:val="24"/>
        </w:rPr>
        <w:t xml:space="preserve">El artículo 22 del Anteproyecto prevé que </w:t>
      </w:r>
      <w:r w:rsidRPr="00614F2F">
        <w:rPr>
          <w:rFonts w:ascii="Arial" w:hAnsi="Arial" w:cs="Arial"/>
          <w:i/>
          <w:sz w:val="24"/>
          <w:szCs w:val="24"/>
        </w:rPr>
        <w:t xml:space="preserve">"el demandado podrá solicitar la sustitución de la efectividad de las medidas cautelares acordadas por la prestación por su parte de una caución suficiente". </w:t>
      </w:r>
      <w:r w:rsidRPr="00614F2F">
        <w:rPr>
          <w:rFonts w:ascii="Arial" w:hAnsi="Arial" w:cs="Arial"/>
          <w:sz w:val="24"/>
          <w:szCs w:val="24"/>
        </w:rPr>
        <w:t xml:space="preserve">A esta posibilidad se refiere expresamente el artículo 10.2 de la Directiva que, sin embargo, establece expresamente que sean las autoridades judiciales las que </w:t>
      </w:r>
      <w:r w:rsidRPr="00614F2F">
        <w:rPr>
          <w:rFonts w:ascii="Arial" w:hAnsi="Arial" w:cs="Arial"/>
          <w:i/>
          <w:sz w:val="24"/>
          <w:szCs w:val="24"/>
        </w:rPr>
        <w:t xml:space="preserve">''puedan supeditar la continuación de la utilización presuntamente ilícita de un secreto comercial </w:t>
      </w:r>
      <w:r w:rsidRPr="00614F2F">
        <w:rPr>
          <w:rFonts w:ascii="Arial" w:hAnsi="Arial" w:cs="Arial"/>
          <w:sz w:val="24"/>
          <w:szCs w:val="24"/>
        </w:rPr>
        <w:t xml:space="preserve">a </w:t>
      </w:r>
      <w:r w:rsidRPr="00614F2F">
        <w:rPr>
          <w:rFonts w:ascii="Arial" w:hAnsi="Arial" w:cs="Arial"/>
          <w:i/>
          <w:sz w:val="24"/>
          <w:szCs w:val="24"/>
        </w:rPr>
        <w:t xml:space="preserve">la constitución de una </w:t>
      </w:r>
      <w:r w:rsidRPr="00614F2F">
        <w:rPr>
          <w:rFonts w:ascii="Arial" w:hAnsi="Arial" w:cs="Arial"/>
          <w:sz w:val="24"/>
          <w:szCs w:val="24"/>
        </w:rPr>
        <w:t xml:space="preserve">o </w:t>
      </w:r>
      <w:r w:rsidRPr="00614F2F">
        <w:rPr>
          <w:rFonts w:ascii="Arial" w:hAnsi="Arial" w:cs="Arial"/>
          <w:i/>
          <w:sz w:val="24"/>
          <w:szCs w:val="24"/>
        </w:rPr>
        <w:t xml:space="preserve">varias garantías (. ..)", </w:t>
      </w:r>
      <w:r w:rsidRPr="00614F2F">
        <w:rPr>
          <w:rFonts w:ascii="Arial" w:hAnsi="Arial" w:cs="Arial"/>
          <w:sz w:val="24"/>
          <w:szCs w:val="24"/>
        </w:rPr>
        <w:t xml:space="preserve">sin precisar en ningún momento que esa posibilidad sólo quepa acordarse a instancia del demandado. Ello podría dar lugar a interpretar que los Estados miembros deberán igualmente garantizar que esta decisión pueda adoptarse de oficio, conclusión que, sin embargo, aparece desmentida con la lectura del apartado 1 del artículo 10 de la Directiva, en el que sí se precisa que la adopción de las medidas cautelares debe realizarse "a </w:t>
      </w:r>
      <w:r w:rsidRPr="00614F2F">
        <w:rPr>
          <w:rFonts w:ascii="Arial" w:hAnsi="Arial" w:cs="Arial"/>
          <w:i/>
          <w:sz w:val="24"/>
          <w:szCs w:val="24"/>
        </w:rPr>
        <w:t xml:space="preserve">instancia del poseedor", </w:t>
      </w:r>
      <w:r w:rsidRPr="00614F2F">
        <w:rPr>
          <w:rFonts w:ascii="Arial" w:hAnsi="Arial" w:cs="Arial"/>
          <w:sz w:val="24"/>
          <w:szCs w:val="24"/>
        </w:rPr>
        <w:t>previsión que debe entenderse extensible a la sustitución de las mismas por la constitución de una garantía, máxime teniendo en cuenta el carácter de esta medida  alternativa. Nada hay que objetar, por tanto a la redacción del artículo 22 del Anteproyecto.</w:t>
      </w:r>
    </w:p>
    <w:p w:rsidR="001201A2" w:rsidRPr="00614F2F" w:rsidRDefault="001201A2" w:rsidP="001201A2">
      <w:pPr>
        <w:spacing w:before="240" w:after="240"/>
        <w:jc w:val="both"/>
        <w:rPr>
          <w:rFonts w:ascii="Arial" w:hAnsi="Arial" w:cs="Arial"/>
          <w:sz w:val="24"/>
          <w:szCs w:val="24"/>
          <w:u w:val="single"/>
        </w:rPr>
      </w:pPr>
      <w:r w:rsidRPr="00614F2F">
        <w:rPr>
          <w:rFonts w:ascii="Arial" w:hAnsi="Arial" w:cs="Arial"/>
          <w:sz w:val="24"/>
          <w:szCs w:val="24"/>
          <w:u w:val="single"/>
        </w:rPr>
        <w:lastRenderedPageBreak/>
        <w:t>VALORACIÓN: Se acepta</w:t>
      </w:r>
    </w:p>
    <w:p w:rsidR="00AF221B" w:rsidRPr="00614F2F" w:rsidRDefault="00AF221B" w:rsidP="00614F2F">
      <w:pPr>
        <w:spacing w:before="240" w:after="240"/>
        <w:jc w:val="both"/>
        <w:rPr>
          <w:rFonts w:ascii="Arial" w:hAnsi="Arial" w:cs="Arial"/>
          <w:b/>
          <w:sz w:val="24"/>
          <w:szCs w:val="24"/>
        </w:rPr>
      </w:pPr>
    </w:p>
    <w:p w:rsidR="001D77C1" w:rsidRPr="004172DA" w:rsidRDefault="001D77C1" w:rsidP="001D77C1">
      <w:pPr>
        <w:spacing w:before="240" w:after="240"/>
        <w:jc w:val="center"/>
        <w:rPr>
          <w:rFonts w:ascii="Arial" w:hAnsi="Arial" w:cs="Arial"/>
          <w:sz w:val="24"/>
          <w:szCs w:val="24"/>
          <w:lang w:val="es-ES_tradnl"/>
        </w:rPr>
      </w:pPr>
    </w:p>
    <w:sectPr w:rsidR="001D77C1" w:rsidRPr="004172DA" w:rsidSect="00614F2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06" w:rsidRDefault="00261A06" w:rsidP="00F7415C">
      <w:pPr>
        <w:spacing w:after="0" w:line="240" w:lineRule="auto"/>
      </w:pPr>
      <w:r>
        <w:separator/>
      </w:r>
    </w:p>
  </w:endnote>
  <w:endnote w:type="continuationSeparator" w:id="0">
    <w:p w:rsidR="00261A06" w:rsidRDefault="00261A06" w:rsidP="00F7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Ebrima">
    <w:panose1 w:val="02000000000000000000"/>
    <w:charset w:val="00"/>
    <w:family w:val="auto"/>
    <w:pitch w:val="variable"/>
    <w:sig w:usb0="A000005F" w:usb1="02000041" w:usb2="00000000" w:usb3="00000000" w:csb0="00000093"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904385"/>
      <w:docPartObj>
        <w:docPartGallery w:val="Page Numbers (Bottom of Page)"/>
        <w:docPartUnique/>
      </w:docPartObj>
    </w:sdtPr>
    <w:sdtEndPr/>
    <w:sdtContent>
      <w:p w:rsidR="00D164CA" w:rsidRDefault="00D164CA">
        <w:pPr>
          <w:pStyle w:val="Piedepgina"/>
          <w:jc w:val="right"/>
        </w:pPr>
        <w:r>
          <w:fldChar w:fldCharType="begin"/>
        </w:r>
        <w:r>
          <w:instrText>PAGE   \* MERGEFORMAT</w:instrText>
        </w:r>
        <w:r>
          <w:fldChar w:fldCharType="separate"/>
        </w:r>
        <w:r w:rsidR="007310D4">
          <w:rPr>
            <w:noProof/>
          </w:rPr>
          <w:t>1</w:t>
        </w:r>
        <w:r>
          <w:fldChar w:fldCharType="end"/>
        </w:r>
      </w:p>
    </w:sdtContent>
  </w:sdt>
  <w:p w:rsidR="00D164CA" w:rsidRDefault="00D164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06" w:rsidRDefault="00261A06" w:rsidP="00F7415C">
      <w:pPr>
        <w:spacing w:after="0" w:line="240" w:lineRule="auto"/>
      </w:pPr>
      <w:r>
        <w:separator/>
      </w:r>
    </w:p>
  </w:footnote>
  <w:footnote w:type="continuationSeparator" w:id="0">
    <w:p w:rsidR="00261A06" w:rsidRDefault="00261A06" w:rsidP="00F7415C">
      <w:pPr>
        <w:spacing w:after="0" w:line="240" w:lineRule="auto"/>
      </w:pPr>
      <w:r>
        <w:continuationSeparator/>
      </w:r>
    </w:p>
  </w:footnote>
  <w:footnote w:id="1">
    <w:p w:rsidR="00D164CA" w:rsidRPr="008273C0" w:rsidRDefault="00D164CA" w:rsidP="008273C0">
      <w:pPr>
        <w:pStyle w:val="Textonotapie"/>
        <w:jc w:val="both"/>
        <w:rPr>
          <w:rFonts w:ascii="Arial" w:hAnsi="Arial" w:cs="Arial"/>
        </w:rPr>
      </w:pPr>
      <w:r w:rsidRPr="008273C0">
        <w:rPr>
          <w:rStyle w:val="Refdenotaalpie"/>
          <w:rFonts w:ascii="Arial" w:hAnsi="Arial" w:cs="Arial"/>
        </w:rPr>
        <w:footnoteRef/>
      </w:r>
      <w:r w:rsidRPr="008273C0">
        <w:rPr>
          <w:rFonts w:ascii="Arial" w:hAnsi="Arial" w:cs="Arial"/>
        </w:rPr>
        <w:t xml:space="preserve"> Información</w:t>
      </w:r>
      <w:r>
        <w:rPr>
          <w:rFonts w:ascii="Arial" w:hAnsi="Arial" w:cs="Arial"/>
        </w:rPr>
        <w:t xml:space="preserve"> proporcionada por la Organización Mundial de la Propiedad Intelectual en: </w:t>
      </w:r>
      <w:hyperlink r:id="rId1" w:history="1">
        <w:r w:rsidRPr="00505A7B">
          <w:rPr>
            <w:rStyle w:val="Hipervnculo"/>
            <w:rFonts w:ascii="Arial" w:hAnsi="Arial" w:cs="Arial"/>
          </w:rPr>
          <w:t>http://www.wipo.int/sme/es/ip_business/trade_secrets/patent_trade.htm</w:t>
        </w:r>
      </w:hyperlink>
      <w:r>
        <w:rPr>
          <w:rFonts w:ascii="Arial" w:hAnsi="Arial" w:cs="Arial"/>
        </w:rPr>
        <w:t xml:space="preserve">. </w:t>
      </w:r>
    </w:p>
  </w:footnote>
  <w:footnote w:id="2">
    <w:p w:rsidR="00D164CA" w:rsidRDefault="00D164CA">
      <w:pPr>
        <w:pStyle w:val="Textonotapie"/>
      </w:pPr>
      <w:r>
        <w:rPr>
          <w:rStyle w:val="Refdenotaalpie"/>
        </w:rPr>
        <w:footnoteRef/>
      </w:r>
      <w:r>
        <w:t xml:space="preserve"> Se sigue la numeración de la versión del anteproyecto sometida a información pública.</w:t>
      </w:r>
    </w:p>
  </w:footnote>
  <w:footnote w:id="3">
    <w:p w:rsidR="00D164CA" w:rsidRDefault="00D164CA">
      <w:pPr>
        <w:pStyle w:val="Textonotapie"/>
      </w:pPr>
      <w:r>
        <w:rPr>
          <w:rStyle w:val="Refdenotaalpie"/>
        </w:rPr>
        <w:footnoteRef/>
      </w:r>
      <w:r>
        <w:t xml:space="preserve"> Se sigue la numeración de la versión del anteproyecto sometida a informes.</w:t>
      </w:r>
    </w:p>
  </w:footnote>
  <w:footnote w:id="4">
    <w:p w:rsidR="00D164CA" w:rsidRDefault="00D164CA" w:rsidP="004172DA">
      <w:pPr>
        <w:pStyle w:val="Textonotapie"/>
      </w:pPr>
      <w:r>
        <w:rPr>
          <w:rStyle w:val="Refdenotaalpie"/>
        </w:rPr>
        <w:footnoteRef/>
      </w:r>
      <w:r>
        <w:t xml:space="preserve"> Se sigue la numeración de la versión remitida a MINETAD con carácter previo a su remisión al Consejo de Estado</w:t>
      </w:r>
    </w:p>
  </w:footnote>
  <w:footnote w:type="separator" w:id="-1">
    <w:p w:rsidR="00261A06" w:rsidRDefault="00261A06" w:rsidP="00F7415C">
      <w:pPr>
        <w:spacing w:after="0" w:line="240" w:lineRule="auto"/>
      </w:pPr>
      <w:r>
        <w:separator/>
      </w:r>
    </w:p>
  </w:footnote>
  <w:footnote w:type="continuationSeparator" w:id="0">
    <w:p w:rsidR="00261A06" w:rsidRDefault="00261A06" w:rsidP="00F7415C">
      <w:pPr>
        <w:spacing w:after="0" w:line="240" w:lineRule="auto"/>
      </w:pPr>
      <w:r>
        <w:continuationSeparator/>
      </w:r>
    </w:p>
  </w:footnote>
  <w:footnote w:id="1">
    <w:p w:rsidR="00D164CA" w:rsidRPr="008273C0" w:rsidRDefault="00D164CA" w:rsidP="008273C0">
      <w:pPr>
        <w:pStyle w:val="Textonotapie"/>
        <w:jc w:val="both"/>
        <w:rPr>
          <w:rFonts w:ascii="Arial" w:hAnsi="Arial" w:cs="Arial"/>
        </w:rPr>
      </w:pPr>
      <w:r w:rsidRPr="008273C0">
        <w:rPr>
          <w:rStyle w:val="Refdenotaalpie"/>
          <w:rFonts w:ascii="Arial" w:hAnsi="Arial" w:cs="Arial"/>
        </w:rPr>
        <w:footnoteRef/>
      </w:r>
      <w:r w:rsidRPr="008273C0">
        <w:rPr>
          <w:rFonts w:ascii="Arial" w:hAnsi="Arial" w:cs="Arial"/>
        </w:rPr>
        <w:t xml:space="preserve"> Información</w:t>
      </w:r>
      <w:r>
        <w:rPr>
          <w:rFonts w:ascii="Arial" w:hAnsi="Arial" w:cs="Arial"/>
        </w:rPr>
        <w:t xml:space="preserve"> proporcionada por la Organización Mundial de la Propiedad Intelectual en: </w:t>
      </w:r>
      <w:hyperlink r:id="rId1" w:history="1">
        <w:r w:rsidRPr="00505A7B">
          <w:rPr>
            <w:rStyle w:val="Hipervnculo"/>
            <w:rFonts w:ascii="Arial" w:hAnsi="Arial" w:cs="Arial"/>
          </w:rPr>
          <w:t>http://www.wipo.int/sme/es/ip_business/trade_secrets/patent_trade.htm</w:t>
        </w:r>
      </w:hyperlink>
      <w:r>
        <w:rPr>
          <w:rFonts w:ascii="Arial" w:hAnsi="Arial" w:cs="Arial"/>
        </w:rPr>
        <w:t xml:space="preserve">. </w:t>
      </w:r>
    </w:p>
  </w:footnote>
  <w:footnote w:id="2">
    <w:p w:rsidR="00D164CA" w:rsidRDefault="00D164CA">
      <w:pPr>
        <w:pStyle w:val="Textonotapie"/>
      </w:pPr>
      <w:r>
        <w:rPr>
          <w:rStyle w:val="Refdenotaalpie"/>
        </w:rPr>
        <w:footnoteRef/>
      </w:r>
      <w:r>
        <w:t xml:space="preserve"> Se sigue la numeración de la versión del anteproyecto sometida a información pública.</w:t>
      </w:r>
    </w:p>
  </w:footnote>
  <w:footnote w:id="3">
    <w:p w:rsidR="00D164CA" w:rsidRDefault="00D164CA">
      <w:pPr>
        <w:pStyle w:val="Textonotapie"/>
      </w:pPr>
      <w:r>
        <w:rPr>
          <w:rStyle w:val="Refdenotaalpie"/>
        </w:rPr>
        <w:footnoteRef/>
      </w:r>
      <w:r>
        <w:t xml:space="preserve"> Se sigue la numeración de la versión del anteproyecto sometida a informes.</w:t>
      </w:r>
    </w:p>
  </w:footnote>
  <w:footnote w:id="4">
    <w:p w:rsidR="00D164CA" w:rsidRDefault="00D164CA" w:rsidP="004172DA">
      <w:pPr>
        <w:pStyle w:val="Textonotapie"/>
      </w:pPr>
      <w:r>
        <w:rPr>
          <w:rStyle w:val="Refdenotaalpie"/>
        </w:rPr>
        <w:footnoteRef/>
      </w:r>
      <w:r>
        <w:t xml:space="preserve"> Se sigue la numeración de la versión remitida a MINETAD con carácter previo a su remisión al Consejo de Estado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099"/>
    <w:multiLevelType w:val="hybridMultilevel"/>
    <w:tmpl w:val="233E5B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242D78"/>
    <w:multiLevelType w:val="hybridMultilevel"/>
    <w:tmpl w:val="03D204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3966A8"/>
    <w:multiLevelType w:val="hybridMultilevel"/>
    <w:tmpl w:val="4A028CC6"/>
    <w:lvl w:ilvl="0" w:tplc="AB8EE81E">
      <w:start w:val="3"/>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765C73"/>
    <w:multiLevelType w:val="hybridMultilevel"/>
    <w:tmpl w:val="E37CB1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D06988"/>
    <w:multiLevelType w:val="hybridMultilevel"/>
    <w:tmpl w:val="92983E4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217D6385"/>
    <w:multiLevelType w:val="hybridMultilevel"/>
    <w:tmpl w:val="42D663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B90A3E"/>
    <w:multiLevelType w:val="hybridMultilevel"/>
    <w:tmpl w:val="1D826AB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72F659A"/>
    <w:multiLevelType w:val="hybridMultilevel"/>
    <w:tmpl w:val="121E44DC"/>
    <w:lvl w:ilvl="0" w:tplc="FEFEE98C">
      <w:numFmt w:val="decimal"/>
      <w:lvlText w:val="%1."/>
      <w:lvlJc w:val="left"/>
      <w:pPr>
        <w:ind w:left="644" w:hanging="360"/>
      </w:pPr>
      <w:rPr>
        <w:rFonts w:hint="default"/>
        <w:b/>
        <w:color w:val="00000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BF1AB1"/>
    <w:multiLevelType w:val="hybridMultilevel"/>
    <w:tmpl w:val="5CAED67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3228655E"/>
    <w:multiLevelType w:val="hybridMultilevel"/>
    <w:tmpl w:val="6C0A2B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675108"/>
    <w:multiLevelType w:val="hybridMultilevel"/>
    <w:tmpl w:val="B838CA2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3C4A1986"/>
    <w:multiLevelType w:val="hybridMultilevel"/>
    <w:tmpl w:val="B900C120"/>
    <w:lvl w:ilvl="0" w:tplc="2FF895D6">
      <w:start w:val="1"/>
      <w:numFmt w:val="lowerLetter"/>
      <w:lvlText w:val="%1)"/>
      <w:lvlJc w:val="left"/>
      <w:pPr>
        <w:ind w:left="1080" w:hanging="372"/>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3D17A31"/>
    <w:multiLevelType w:val="hybridMultilevel"/>
    <w:tmpl w:val="EC5C4622"/>
    <w:lvl w:ilvl="0" w:tplc="19DA3B96">
      <w:numFmt w:val="decimal"/>
      <w:lvlText w:val="%1."/>
      <w:lvlJc w:val="left"/>
      <w:pPr>
        <w:ind w:left="644"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F1807B2"/>
    <w:multiLevelType w:val="hybridMultilevel"/>
    <w:tmpl w:val="E65A96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38136EF"/>
    <w:multiLevelType w:val="hybridMultilevel"/>
    <w:tmpl w:val="75385726"/>
    <w:lvl w:ilvl="0" w:tplc="70C6D9C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7011391"/>
    <w:multiLevelType w:val="hybridMultilevel"/>
    <w:tmpl w:val="C9043DAA"/>
    <w:lvl w:ilvl="0" w:tplc="0C0A0011">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6">
    <w:nsid w:val="5E430242"/>
    <w:multiLevelType w:val="hybridMultilevel"/>
    <w:tmpl w:val="0992879C"/>
    <w:lvl w:ilvl="0" w:tplc="8154D6E8">
      <w:start w:val="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41C4681"/>
    <w:multiLevelType w:val="hybridMultilevel"/>
    <w:tmpl w:val="F9F4B3DE"/>
    <w:lvl w:ilvl="0" w:tplc="E2F8C64A">
      <w:start w:val="1"/>
      <w:numFmt w:val="bullet"/>
      <w:lvlText w:val="-"/>
      <w:lvlJc w:val="left"/>
      <w:pPr>
        <w:ind w:left="360" w:hanging="360"/>
      </w:pPr>
      <w:rPr>
        <w:rFonts w:ascii="Calibri" w:eastAsia="Calibri" w:hAnsi="Calibri" w:cs="Arial" w:hint="default"/>
        <w:b/>
      </w:rPr>
    </w:lvl>
    <w:lvl w:ilvl="1" w:tplc="E2F8C64A">
      <w:start w:val="1"/>
      <w:numFmt w:val="bullet"/>
      <w:lvlText w:val="-"/>
      <w:lvlJc w:val="left"/>
      <w:pPr>
        <w:ind w:left="1080" w:hanging="360"/>
      </w:pPr>
      <w:rPr>
        <w:rFonts w:ascii="Calibri" w:eastAsia="Calibri" w:hAnsi="Calibri"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61B54C1"/>
    <w:multiLevelType w:val="hybridMultilevel"/>
    <w:tmpl w:val="5FFA6F8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nsid w:val="69D156F3"/>
    <w:multiLevelType w:val="hybridMultilevel"/>
    <w:tmpl w:val="2B828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19"/>
  </w:num>
  <w:num w:numId="5">
    <w:abstractNumId w:val="10"/>
  </w:num>
  <w:num w:numId="6">
    <w:abstractNumId w:val="6"/>
  </w:num>
  <w:num w:numId="7">
    <w:abstractNumId w:val="16"/>
  </w:num>
  <w:num w:numId="8">
    <w:abstractNumId w:val="14"/>
  </w:num>
  <w:num w:numId="9">
    <w:abstractNumId w:val="2"/>
  </w:num>
  <w:num w:numId="10">
    <w:abstractNumId w:val="15"/>
  </w:num>
  <w:num w:numId="11">
    <w:abstractNumId w:val="4"/>
  </w:num>
  <w:num w:numId="12">
    <w:abstractNumId w:val="11"/>
  </w:num>
  <w:num w:numId="13">
    <w:abstractNumId w:val="8"/>
  </w:num>
  <w:num w:numId="14">
    <w:abstractNumId w:val="18"/>
  </w:num>
  <w:num w:numId="15">
    <w:abstractNumId w:val="12"/>
  </w:num>
  <w:num w:numId="16">
    <w:abstractNumId w:val="7"/>
  </w:num>
  <w:num w:numId="17">
    <w:abstractNumId w:val="1"/>
  </w:num>
  <w:num w:numId="18">
    <w:abstractNumId w:val="9"/>
  </w:num>
  <w:num w:numId="19">
    <w:abstractNumId w:val="0"/>
  </w:num>
  <w:num w:numId="20">
    <w:abstractNumId w:val="17"/>
  </w:num>
  <w:num w:numId="2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 Amerigo">
    <w15:presenceInfo w15:providerId="None" w15:userId="Jose Ameri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5C"/>
    <w:rsid w:val="00006C1C"/>
    <w:rsid w:val="0001091B"/>
    <w:rsid w:val="00013B0E"/>
    <w:rsid w:val="000140CF"/>
    <w:rsid w:val="00014A37"/>
    <w:rsid w:val="00014D45"/>
    <w:rsid w:val="000160BC"/>
    <w:rsid w:val="00017082"/>
    <w:rsid w:val="00020852"/>
    <w:rsid w:val="00020D46"/>
    <w:rsid w:val="000222C7"/>
    <w:rsid w:val="00027470"/>
    <w:rsid w:val="00033109"/>
    <w:rsid w:val="00041E42"/>
    <w:rsid w:val="00043E73"/>
    <w:rsid w:val="000446A0"/>
    <w:rsid w:val="00045250"/>
    <w:rsid w:val="00046823"/>
    <w:rsid w:val="000505A2"/>
    <w:rsid w:val="00051225"/>
    <w:rsid w:val="00052E5B"/>
    <w:rsid w:val="000576DC"/>
    <w:rsid w:val="000624DE"/>
    <w:rsid w:val="000631A9"/>
    <w:rsid w:val="00066B8D"/>
    <w:rsid w:val="000711B2"/>
    <w:rsid w:val="00074A6B"/>
    <w:rsid w:val="000763A5"/>
    <w:rsid w:val="0007748A"/>
    <w:rsid w:val="00080194"/>
    <w:rsid w:val="000802EE"/>
    <w:rsid w:val="00082D0F"/>
    <w:rsid w:val="0008552E"/>
    <w:rsid w:val="00094462"/>
    <w:rsid w:val="00094E00"/>
    <w:rsid w:val="000A0A92"/>
    <w:rsid w:val="000A19D0"/>
    <w:rsid w:val="000A397C"/>
    <w:rsid w:val="000A3BD0"/>
    <w:rsid w:val="000A441D"/>
    <w:rsid w:val="000A5CA3"/>
    <w:rsid w:val="000B24DA"/>
    <w:rsid w:val="000B4C80"/>
    <w:rsid w:val="000B749C"/>
    <w:rsid w:val="000C0FE5"/>
    <w:rsid w:val="000C2D5C"/>
    <w:rsid w:val="000C5857"/>
    <w:rsid w:val="000D055A"/>
    <w:rsid w:val="000D11FD"/>
    <w:rsid w:val="000D2AAF"/>
    <w:rsid w:val="000D2FF1"/>
    <w:rsid w:val="000D30DE"/>
    <w:rsid w:val="000E1052"/>
    <w:rsid w:val="000E1B0C"/>
    <w:rsid w:val="000E3358"/>
    <w:rsid w:val="000F136B"/>
    <w:rsid w:val="000F7961"/>
    <w:rsid w:val="001010AE"/>
    <w:rsid w:val="001073E7"/>
    <w:rsid w:val="0010783C"/>
    <w:rsid w:val="00111646"/>
    <w:rsid w:val="001125AD"/>
    <w:rsid w:val="0011416E"/>
    <w:rsid w:val="00114E47"/>
    <w:rsid w:val="001201A2"/>
    <w:rsid w:val="00120C0A"/>
    <w:rsid w:val="00121249"/>
    <w:rsid w:val="00122E55"/>
    <w:rsid w:val="00126977"/>
    <w:rsid w:val="001273CC"/>
    <w:rsid w:val="00127979"/>
    <w:rsid w:val="00133EE4"/>
    <w:rsid w:val="00135A2D"/>
    <w:rsid w:val="00135FF3"/>
    <w:rsid w:val="001418FE"/>
    <w:rsid w:val="00145564"/>
    <w:rsid w:val="00151F16"/>
    <w:rsid w:val="00154633"/>
    <w:rsid w:val="00154F0D"/>
    <w:rsid w:val="001571E4"/>
    <w:rsid w:val="00163877"/>
    <w:rsid w:val="001648D5"/>
    <w:rsid w:val="00165E10"/>
    <w:rsid w:val="00165E2E"/>
    <w:rsid w:val="00170270"/>
    <w:rsid w:val="001725A3"/>
    <w:rsid w:val="001738E9"/>
    <w:rsid w:val="001754DA"/>
    <w:rsid w:val="00182016"/>
    <w:rsid w:val="0018553A"/>
    <w:rsid w:val="0019030E"/>
    <w:rsid w:val="001909A5"/>
    <w:rsid w:val="00190C20"/>
    <w:rsid w:val="001920CB"/>
    <w:rsid w:val="001929E0"/>
    <w:rsid w:val="00192E80"/>
    <w:rsid w:val="00197300"/>
    <w:rsid w:val="001A0F60"/>
    <w:rsid w:val="001A2A24"/>
    <w:rsid w:val="001A37F8"/>
    <w:rsid w:val="001A7BC6"/>
    <w:rsid w:val="001B1A90"/>
    <w:rsid w:val="001B1AB7"/>
    <w:rsid w:val="001B21E2"/>
    <w:rsid w:val="001B33D9"/>
    <w:rsid w:val="001B618F"/>
    <w:rsid w:val="001B74AC"/>
    <w:rsid w:val="001B7D5A"/>
    <w:rsid w:val="001C6067"/>
    <w:rsid w:val="001C7039"/>
    <w:rsid w:val="001D23E5"/>
    <w:rsid w:val="001D3B9E"/>
    <w:rsid w:val="001D4F45"/>
    <w:rsid w:val="001D6048"/>
    <w:rsid w:val="001D6D8B"/>
    <w:rsid w:val="001D77C1"/>
    <w:rsid w:val="001E07FF"/>
    <w:rsid w:val="001E2638"/>
    <w:rsid w:val="001E3C4B"/>
    <w:rsid w:val="001E5D00"/>
    <w:rsid w:val="001E6947"/>
    <w:rsid w:val="001F575C"/>
    <w:rsid w:val="001F7206"/>
    <w:rsid w:val="002014BC"/>
    <w:rsid w:val="002033B0"/>
    <w:rsid w:val="002133D6"/>
    <w:rsid w:val="002142EC"/>
    <w:rsid w:val="00214577"/>
    <w:rsid w:val="00215383"/>
    <w:rsid w:val="00220749"/>
    <w:rsid w:val="00220B5E"/>
    <w:rsid w:val="00221837"/>
    <w:rsid w:val="00221FD4"/>
    <w:rsid w:val="00225AFB"/>
    <w:rsid w:val="0023001F"/>
    <w:rsid w:val="00230912"/>
    <w:rsid w:val="00232465"/>
    <w:rsid w:val="00240707"/>
    <w:rsid w:val="0024145A"/>
    <w:rsid w:val="00244140"/>
    <w:rsid w:val="00246DC2"/>
    <w:rsid w:val="00251485"/>
    <w:rsid w:val="00255FC4"/>
    <w:rsid w:val="0026113C"/>
    <w:rsid w:val="00261A06"/>
    <w:rsid w:val="00262547"/>
    <w:rsid w:val="002654E3"/>
    <w:rsid w:val="002720FE"/>
    <w:rsid w:val="00272299"/>
    <w:rsid w:val="002750C9"/>
    <w:rsid w:val="00280091"/>
    <w:rsid w:val="002800F2"/>
    <w:rsid w:val="0028059C"/>
    <w:rsid w:val="00281A52"/>
    <w:rsid w:val="00282C05"/>
    <w:rsid w:val="00283F0C"/>
    <w:rsid w:val="00290A69"/>
    <w:rsid w:val="00291554"/>
    <w:rsid w:val="00291B6F"/>
    <w:rsid w:val="002943E0"/>
    <w:rsid w:val="002A1BBA"/>
    <w:rsid w:val="002A4592"/>
    <w:rsid w:val="002A4B44"/>
    <w:rsid w:val="002A51F9"/>
    <w:rsid w:val="002B186A"/>
    <w:rsid w:val="002B68AD"/>
    <w:rsid w:val="002B7DF2"/>
    <w:rsid w:val="002C548C"/>
    <w:rsid w:val="002D139B"/>
    <w:rsid w:val="002D14DA"/>
    <w:rsid w:val="002D4553"/>
    <w:rsid w:val="002D4BD6"/>
    <w:rsid w:val="002E34DD"/>
    <w:rsid w:val="002E4084"/>
    <w:rsid w:val="002E40FA"/>
    <w:rsid w:val="002E6B39"/>
    <w:rsid w:val="002E74D2"/>
    <w:rsid w:val="002E7F54"/>
    <w:rsid w:val="002E7FD1"/>
    <w:rsid w:val="002F0203"/>
    <w:rsid w:val="002F1F9B"/>
    <w:rsid w:val="002F7F85"/>
    <w:rsid w:val="0030259F"/>
    <w:rsid w:val="003027CB"/>
    <w:rsid w:val="003073E6"/>
    <w:rsid w:val="00310A09"/>
    <w:rsid w:val="0031591A"/>
    <w:rsid w:val="00316159"/>
    <w:rsid w:val="00316409"/>
    <w:rsid w:val="0032092E"/>
    <w:rsid w:val="00321C01"/>
    <w:rsid w:val="00323C96"/>
    <w:rsid w:val="003245C8"/>
    <w:rsid w:val="00326584"/>
    <w:rsid w:val="003300F3"/>
    <w:rsid w:val="003311F1"/>
    <w:rsid w:val="00331EB6"/>
    <w:rsid w:val="0034087A"/>
    <w:rsid w:val="00341947"/>
    <w:rsid w:val="00343086"/>
    <w:rsid w:val="00344434"/>
    <w:rsid w:val="003452D4"/>
    <w:rsid w:val="00347310"/>
    <w:rsid w:val="00347B18"/>
    <w:rsid w:val="00353845"/>
    <w:rsid w:val="00354C93"/>
    <w:rsid w:val="00355B53"/>
    <w:rsid w:val="0035629F"/>
    <w:rsid w:val="0036003B"/>
    <w:rsid w:val="003617EF"/>
    <w:rsid w:val="003620A4"/>
    <w:rsid w:val="00362B67"/>
    <w:rsid w:val="003652D3"/>
    <w:rsid w:val="00366D03"/>
    <w:rsid w:val="00367A1E"/>
    <w:rsid w:val="00367C67"/>
    <w:rsid w:val="0037213B"/>
    <w:rsid w:val="00372429"/>
    <w:rsid w:val="0037258E"/>
    <w:rsid w:val="00373F5A"/>
    <w:rsid w:val="003810E3"/>
    <w:rsid w:val="0038182C"/>
    <w:rsid w:val="00381FA6"/>
    <w:rsid w:val="003830AF"/>
    <w:rsid w:val="003855A0"/>
    <w:rsid w:val="00385A10"/>
    <w:rsid w:val="00392EC5"/>
    <w:rsid w:val="003950A2"/>
    <w:rsid w:val="0039654A"/>
    <w:rsid w:val="00397B1A"/>
    <w:rsid w:val="003A227E"/>
    <w:rsid w:val="003A49C0"/>
    <w:rsid w:val="003A6A9B"/>
    <w:rsid w:val="003A707C"/>
    <w:rsid w:val="003B1E2C"/>
    <w:rsid w:val="003B31BC"/>
    <w:rsid w:val="003B3A9C"/>
    <w:rsid w:val="003B585B"/>
    <w:rsid w:val="003B7BE1"/>
    <w:rsid w:val="003C001D"/>
    <w:rsid w:val="003C09AA"/>
    <w:rsid w:val="003C5FBA"/>
    <w:rsid w:val="003C6AC6"/>
    <w:rsid w:val="003C73BF"/>
    <w:rsid w:val="003D1D07"/>
    <w:rsid w:val="003D2985"/>
    <w:rsid w:val="003D3BB6"/>
    <w:rsid w:val="003D3D45"/>
    <w:rsid w:val="003D3FF0"/>
    <w:rsid w:val="003D4223"/>
    <w:rsid w:val="003D4B82"/>
    <w:rsid w:val="003D5DB3"/>
    <w:rsid w:val="003D74D0"/>
    <w:rsid w:val="003E0EC7"/>
    <w:rsid w:val="003E16B9"/>
    <w:rsid w:val="003E3DA8"/>
    <w:rsid w:val="003E42D0"/>
    <w:rsid w:val="003E74BF"/>
    <w:rsid w:val="003E7B74"/>
    <w:rsid w:val="003F473F"/>
    <w:rsid w:val="003F5F27"/>
    <w:rsid w:val="00405AFF"/>
    <w:rsid w:val="00406387"/>
    <w:rsid w:val="00407F7C"/>
    <w:rsid w:val="00411374"/>
    <w:rsid w:val="00412A5E"/>
    <w:rsid w:val="00413C9D"/>
    <w:rsid w:val="00416C54"/>
    <w:rsid w:val="004172DA"/>
    <w:rsid w:val="004249C5"/>
    <w:rsid w:val="00434A9C"/>
    <w:rsid w:val="0043502A"/>
    <w:rsid w:val="004358F3"/>
    <w:rsid w:val="004418AF"/>
    <w:rsid w:val="00441C17"/>
    <w:rsid w:val="00442760"/>
    <w:rsid w:val="00442854"/>
    <w:rsid w:val="0044316A"/>
    <w:rsid w:val="00443B7C"/>
    <w:rsid w:val="004521C9"/>
    <w:rsid w:val="00452365"/>
    <w:rsid w:val="00463D99"/>
    <w:rsid w:val="004757B8"/>
    <w:rsid w:val="00490098"/>
    <w:rsid w:val="004943B6"/>
    <w:rsid w:val="00495A3F"/>
    <w:rsid w:val="00495A58"/>
    <w:rsid w:val="0049797D"/>
    <w:rsid w:val="004A0DE4"/>
    <w:rsid w:val="004A2069"/>
    <w:rsid w:val="004A6043"/>
    <w:rsid w:val="004A6446"/>
    <w:rsid w:val="004A6718"/>
    <w:rsid w:val="004A7D87"/>
    <w:rsid w:val="004B03C5"/>
    <w:rsid w:val="004B442C"/>
    <w:rsid w:val="004B67A8"/>
    <w:rsid w:val="004C0013"/>
    <w:rsid w:val="004C21CD"/>
    <w:rsid w:val="004C264A"/>
    <w:rsid w:val="004C3B96"/>
    <w:rsid w:val="004C502A"/>
    <w:rsid w:val="004C74CC"/>
    <w:rsid w:val="004C7F35"/>
    <w:rsid w:val="004D049B"/>
    <w:rsid w:val="004D1413"/>
    <w:rsid w:val="004D4209"/>
    <w:rsid w:val="004E092A"/>
    <w:rsid w:val="004E3495"/>
    <w:rsid w:val="004E3511"/>
    <w:rsid w:val="004E499E"/>
    <w:rsid w:val="004F03AB"/>
    <w:rsid w:val="004F0930"/>
    <w:rsid w:val="004F1E0A"/>
    <w:rsid w:val="004F47B4"/>
    <w:rsid w:val="004F4ABE"/>
    <w:rsid w:val="004F4C29"/>
    <w:rsid w:val="004F5024"/>
    <w:rsid w:val="004F5C15"/>
    <w:rsid w:val="004F5E07"/>
    <w:rsid w:val="00501601"/>
    <w:rsid w:val="00502E8C"/>
    <w:rsid w:val="005054BB"/>
    <w:rsid w:val="00506807"/>
    <w:rsid w:val="00510FDB"/>
    <w:rsid w:val="00511E89"/>
    <w:rsid w:val="005172DB"/>
    <w:rsid w:val="00522FD3"/>
    <w:rsid w:val="00523D06"/>
    <w:rsid w:val="00524F86"/>
    <w:rsid w:val="005250CF"/>
    <w:rsid w:val="00526DDF"/>
    <w:rsid w:val="005323F5"/>
    <w:rsid w:val="00534511"/>
    <w:rsid w:val="0053788C"/>
    <w:rsid w:val="00537B85"/>
    <w:rsid w:val="0054051D"/>
    <w:rsid w:val="0054600B"/>
    <w:rsid w:val="00546558"/>
    <w:rsid w:val="00551230"/>
    <w:rsid w:val="0055306A"/>
    <w:rsid w:val="00560727"/>
    <w:rsid w:val="00561B67"/>
    <w:rsid w:val="00562D33"/>
    <w:rsid w:val="00563D9E"/>
    <w:rsid w:val="005648C5"/>
    <w:rsid w:val="0056750A"/>
    <w:rsid w:val="0057044C"/>
    <w:rsid w:val="00570752"/>
    <w:rsid w:val="00573B6D"/>
    <w:rsid w:val="0057777F"/>
    <w:rsid w:val="005826E8"/>
    <w:rsid w:val="00582CB9"/>
    <w:rsid w:val="00583704"/>
    <w:rsid w:val="00585638"/>
    <w:rsid w:val="00586047"/>
    <w:rsid w:val="00586382"/>
    <w:rsid w:val="00587B19"/>
    <w:rsid w:val="005901E5"/>
    <w:rsid w:val="00592F8A"/>
    <w:rsid w:val="005931ED"/>
    <w:rsid w:val="005938C7"/>
    <w:rsid w:val="00593B70"/>
    <w:rsid w:val="005A203C"/>
    <w:rsid w:val="005A320C"/>
    <w:rsid w:val="005A5F89"/>
    <w:rsid w:val="005A682B"/>
    <w:rsid w:val="005B2BBB"/>
    <w:rsid w:val="005B3033"/>
    <w:rsid w:val="005B43CD"/>
    <w:rsid w:val="005B7D90"/>
    <w:rsid w:val="005C03B9"/>
    <w:rsid w:val="005D25BF"/>
    <w:rsid w:val="005D2E85"/>
    <w:rsid w:val="005D79A3"/>
    <w:rsid w:val="005E0935"/>
    <w:rsid w:val="005E7704"/>
    <w:rsid w:val="005E7AEA"/>
    <w:rsid w:val="005F2825"/>
    <w:rsid w:val="005F2D75"/>
    <w:rsid w:val="005F3193"/>
    <w:rsid w:val="005F5128"/>
    <w:rsid w:val="006023D8"/>
    <w:rsid w:val="00602E03"/>
    <w:rsid w:val="006040FA"/>
    <w:rsid w:val="00604EDC"/>
    <w:rsid w:val="00605E35"/>
    <w:rsid w:val="00607B8B"/>
    <w:rsid w:val="00610C08"/>
    <w:rsid w:val="0061186E"/>
    <w:rsid w:val="006146F4"/>
    <w:rsid w:val="00614F2F"/>
    <w:rsid w:val="00615909"/>
    <w:rsid w:val="006169BA"/>
    <w:rsid w:val="00621D5D"/>
    <w:rsid w:val="006240D4"/>
    <w:rsid w:val="00627186"/>
    <w:rsid w:val="00627749"/>
    <w:rsid w:val="00630467"/>
    <w:rsid w:val="0063535F"/>
    <w:rsid w:val="00640FBB"/>
    <w:rsid w:val="006412BE"/>
    <w:rsid w:val="00642555"/>
    <w:rsid w:val="006429C2"/>
    <w:rsid w:val="00644C78"/>
    <w:rsid w:val="006451DF"/>
    <w:rsid w:val="00645F95"/>
    <w:rsid w:val="00646076"/>
    <w:rsid w:val="006500E0"/>
    <w:rsid w:val="00656A1E"/>
    <w:rsid w:val="00657E31"/>
    <w:rsid w:val="00660698"/>
    <w:rsid w:val="00660D64"/>
    <w:rsid w:val="00665A39"/>
    <w:rsid w:val="0067371C"/>
    <w:rsid w:val="00675047"/>
    <w:rsid w:val="00676258"/>
    <w:rsid w:val="0067649D"/>
    <w:rsid w:val="0067722E"/>
    <w:rsid w:val="00680661"/>
    <w:rsid w:val="00681FEF"/>
    <w:rsid w:val="006828A8"/>
    <w:rsid w:val="0068785E"/>
    <w:rsid w:val="00695D1B"/>
    <w:rsid w:val="006A035B"/>
    <w:rsid w:val="006A1017"/>
    <w:rsid w:val="006A348B"/>
    <w:rsid w:val="006A4E34"/>
    <w:rsid w:val="006A508E"/>
    <w:rsid w:val="006A56D9"/>
    <w:rsid w:val="006A6562"/>
    <w:rsid w:val="006B202A"/>
    <w:rsid w:val="006B33FE"/>
    <w:rsid w:val="006B3924"/>
    <w:rsid w:val="006B60BE"/>
    <w:rsid w:val="006B721E"/>
    <w:rsid w:val="006C16E7"/>
    <w:rsid w:val="006C1F54"/>
    <w:rsid w:val="006C2E48"/>
    <w:rsid w:val="006C55B1"/>
    <w:rsid w:val="006D016D"/>
    <w:rsid w:val="006D198F"/>
    <w:rsid w:val="006D1CA4"/>
    <w:rsid w:val="006D295E"/>
    <w:rsid w:val="006D2B48"/>
    <w:rsid w:val="006D3528"/>
    <w:rsid w:val="006D384B"/>
    <w:rsid w:val="006E2A0B"/>
    <w:rsid w:val="006E5A21"/>
    <w:rsid w:val="006E5E4F"/>
    <w:rsid w:val="006E685E"/>
    <w:rsid w:val="006F27FC"/>
    <w:rsid w:val="00701BA5"/>
    <w:rsid w:val="00701D86"/>
    <w:rsid w:val="0070310A"/>
    <w:rsid w:val="00705CDB"/>
    <w:rsid w:val="0070679A"/>
    <w:rsid w:val="0070693B"/>
    <w:rsid w:val="0070778F"/>
    <w:rsid w:val="00711078"/>
    <w:rsid w:val="00713779"/>
    <w:rsid w:val="00715047"/>
    <w:rsid w:val="00715678"/>
    <w:rsid w:val="00716397"/>
    <w:rsid w:val="007204E4"/>
    <w:rsid w:val="00721B45"/>
    <w:rsid w:val="007221E2"/>
    <w:rsid w:val="007244C4"/>
    <w:rsid w:val="007244DE"/>
    <w:rsid w:val="00730CD9"/>
    <w:rsid w:val="007310D4"/>
    <w:rsid w:val="007314A5"/>
    <w:rsid w:val="00732E0B"/>
    <w:rsid w:val="0073365A"/>
    <w:rsid w:val="0073621C"/>
    <w:rsid w:val="0074051F"/>
    <w:rsid w:val="00742F0D"/>
    <w:rsid w:val="007443BC"/>
    <w:rsid w:val="0074441B"/>
    <w:rsid w:val="00744644"/>
    <w:rsid w:val="00745D85"/>
    <w:rsid w:val="00746F47"/>
    <w:rsid w:val="00750BC4"/>
    <w:rsid w:val="00750CF8"/>
    <w:rsid w:val="007513A5"/>
    <w:rsid w:val="00752A27"/>
    <w:rsid w:val="0075407E"/>
    <w:rsid w:val="00754172"/>
    <w:rsid w:val="00757C86"/>
    <w:rsid w:val="00760F9A"/>
    <w:rsid w:val="00763884"/>
    <w:rsid w:val="00766972"/>
    <w:rsid w:val="00766C18"/>
    <w:rsid w:val="00766CC9"/>
    <w:rsid w:val="007705C3"/>
    <w:rsid w:val="00770BC8"/>
    <w:rsid w:val="00772735"/>
    <w:rsid w:val="007744ED"/>
    <w:rsid w:val="007759D6"/>
    <w:rsid w:val="0078128E"/>
    <w:rsid w:val="007835EA"/>
    <w:rsid w:val="00793B3E"/>
    <w:rsid w:val="00794FAD"/>
    <w:rsid w:val="007957F7"/>
    <w:rsid w:val="00796A71"/>
    <w:rsid w:val="00797B2B"/>
    <w:rsid w:val="007A1753"/>
    <w:rsid w:val="007A2806"/>
    <w:rsid w:val="007A5580"/>
    <w:rsid w:val="007A702A"/>
    <w:rsid w:val="007A7C9B"/>
    <w:rsid w:val="007A7E4E"/>
    <w:rsid w:val="007B0188"/>
    <w:rsid w:val="007B0A64"/>
    <w:rsid w:val="007B18A4"/>
    <w:rsid w:val="007B427C"/>
    <w:rsid w:val="007B629A"/>
    <w:rsid w:val="007B7675"/>
    <w:rsid w:val="007C1D22"/>
    <w:rsid w:val="007C3A05"/>
    <w:rsid w:val="007C6327"/>
    <w:rsid w:val="007C7740"/>
    <w:rsid w:val="007D347C"/>
    <w:rsid w:val="007D3FE2"/>
    <w:rsid w:val="007D4050"/>
    <w:rsid w:val="007D57CA"/>
    <w:rsid w:val="007D6FBC"/>
    <w:rsid w:val="007D7C82"/>
    <w:rsid w:val="007D7CAA"/>
    <w:rsid w:val="007E23C7"/>
    <w:rsid w:val="007E4254"/>
    <w:rsid w:val="007E652E"/>
    <w:rsid w:val="007E6E2A"/>
    <w:rsid w:val="007F0AEC"/>
    <w:rsid w:val="007F2B3A"/>
    <w:rsid w:val="00800FEB"/>
    <w:rsid w:val="00806271"/>
    <w:rsid w:val="00806921"/>
    <w:rsid w:val="00811BCD"/>
    <w:rsid w:val="00816447"/>
    <w:rsid w:val="00816CE4"/>
    <w:rsid w:val="008208BB"/>
    <w:rsid w:val="008247F8"/>
    <w:rsid w:val="008251A5"/>
    <w:rsid w:val="00826E27"/>
    <w:rsid w:val="008273C0"/>
    <w:rsid w:val="0082764F"/>
    <w:rsid w:val="00832A5C"/>
    <w:rsid w:val="0083537F"/>
    <w:rsid w:val="00835B64"/>
    <w:rsid w:val="00842F9D"/>
    <w:rsid w:val="00842F9F"/>
    <w:rsid w:val="00846671"/>
    <w:rsid w:val="00847AED"/>
    <w:rsid w:val="00847B8A"/>
    <w:rsid w:val="00850571"/>
    <w:rsid w:val="00851ED3"/>
    <w:rsid w:val="00854234"/>
    <w:rsid w:val="00854533"/>
    <w:rsid w:val="00856FC4"/>
    <w:rsid w:val="0086377B"/>
    <w:rsid w:val="00864096"/>
    <w:rsid w:val="00866F3E"/>
    <w:rsid w:val="00867354"/>
    <w:rsid w:val="00867929"/>
    <w:rsid w:val="008711D2"/>
    <w:rsid w:val="0087600D"/>
    <w:rsid w:val="00881C3C"/>
    <w:rsid w:val="00881F3C"/>
    <w:rsid w:val="00885400"/>
    <w:rsid w:val="00886538"/>
    <w:rsid w:val="00890ABE"/>
    <w:rsid w:val="00891AA5"/>
    <w:rsid w:val="00891BEA"/>
    <w:rsid w:val="00891F0B"/>
    <w:rsid w:val="00893517"/>
    <w:rsid w:val="00894658"/>
    <w:rsid w:val="00894CE6"/>
    <w:rsid w:val="00896A49"/>
    <w:rsid w:val="00896D6E"/>
    <w:rsid w:val="008A073D"/>
    <w:rsid w:val="008A1715"/>
    <w:rsid w:val="008A1F00"/>
    <w:rsid w:val="008A2B39"/>
    <w:rsid w:val="008A37BB"/>
    <w:rsid w:val="008A4C99"/>
    <w:rsid w:val="008A6B42"/>
    <w:rsid w:val="008B215A"/>
    <w:rsid w:val="008B30C1"/>
    <w:rsid w:val="008B529F"/>
    <w:rsid w:val="008B5B7C"/>
    <w:rsid w:val="008C2492"/>
    <w:rsid w:val="008C5324"/>
    <w:rsid w:val="008C775C"/>
    <w:rsid w:val="008C77C3"/>
    <w:rsid w:val="008D08A8"/>
    <w:rsid w:val="008D424D"/>
    <w:rsid w:val="008D7DF9"/>
    <w:rsid w:val="008E22A0"/>
    <w:rsid w:val="008E2B5C"/>
    <w:rsid w:val="008F592B"/>
    <w:rsid w:val="0090190E"/>
    <w:rsid w:val="00901DEC"/>
    <w:rsid w:val="009068C3"/>
    <w:rsid w:val="00907F6B"/>
    <w:rsid w:val="00912DFF"/>
    <w:rsid w:val="00912F38"/>
    <w:rsid w:val="00914280"/>
    <w:rsid w:val="00917AEE"/>
    <w:rsid w:val="009209F3"/>
    <w:rsid w:val="00921B19"/>
    <w:rsid w:val="0092200F"/>
    <w:rsid w:val="00923E20"/>
    <w:rsid w:val="00924216"/>
    <w:rsid w:val="009245BC"/>
    <w:rsid w:val="00933EC8"/>
    <w:rsid w:val="0093704E"/>
    <w:rsid w:val="009442D2"/>
    <w:rsid w:val="009454B4"/>
    <w:rsid w:val="00946E3C"/>
    <w:rsid w:val="009477D6"/>
    <w:rsid w:val="00950A05"/>
    <w:rsid w:val="00953285"/>
    <w:rsid w:val="00953916"/>
    <w:rsid w:val="00953B86"/>
    <w:rsid w:val="00960096"/>
    <w:rsid w:val="00971957"/>
    <w:rsid w:val="00971A28"/>
    <w:rsid w:val="009800FD"/>
    <w:rsid w:val="00984766"/>
    <w:rsid w:val="00984F9B"/>
    <w:rsid w:val="009909FB"/>
    <w:rsid w:val="00990AAD"/>
    <w:rsid w:val="00990FD4"/>
    <w:rsid w:val="0099394C"/>
    <w:rsid w:val="00995050"/>
    <w:rsid w:val="009A0AAF"/>
    <w:rsid w:val="009A3DAD"/>
    <w:rsid w:val="009A668B"/>
    <w:rsid w:val="009B1A41"/>
    <w:rsid w:val="009B259A"/>
    <w:rsid w:val="009B5823"/>
    <w:rsid w:val="009B65F3"/>
    <w:rsid w:val="009B7B57"/>
    <w:rsid w:val="009C0606"/>
    <w:rsid w:val="009C3648"/>
    <w:rsid w:val="009C525F"/>
    <w:rsid w:val="009C6BA2"/>
    <w:rsid w:val="009C7A22"/>
    <w:rsid w:val="009D3D63"/>
    <w:rsid w:val="009D67A2"/>
    <w:rsid w:val="009D73CA"/>
    <w:rsid w:val="009E06B2"/>
    <w:rsid w:val="009E1126"/>
    <w:rsid w:val="009E2671"/>
    <w:rsid w:val="009E46E6"/>
    <w:rsid w:val="009F1B0C"/>
    <w:rsid w:val="009F4985"/>
    <w:rsid w:val="00A049BF"/>
    <w:rsid w:val="00A04EA3"/>
    <w:rsid w:val="00A11F3F"/>
    <w:rsid w:val="00A12256"/>
    <w:rsid w:val="00A1268F"/>
    <w:rsid w:val="00A139CD"/>
    <w:rsid w:val="00A13BBD"/>
    <w:rsid w:val="00A15AE4"/>
    <w:rsid w:val="00A16D71"/>
    <w:rsid w:val="00A203B9"/>
    <w:rsid w:val="00A209C9"/>
    <w:rsid w:val="00A21EFB"/>
    <w:rsid w:val="00A2511A"/>
    <w:rsid w:val="00A253D7"/>
    <w:rsid w:val="00A3218D"/>
    <w:rsid w:val="00A33ACC"/>
    <w:rsid w:val="00A34F28"/>
    <w:rsid w:val="00A5320B"/>
    <w:rsid w:val="00A574EC"/>
    <w:rsid w:val="00A65089"/>
    <w:rsid w:val="00A65BDC"/>
    <w:rsid w:val="00A726D5"/>
    <w:rsid w:val="00A741D8"/>
    <w:rsid w:val="00A75C90"/>
    <w:rsid w:val="00A80CEA"/>
    <w:rsid w:val="00A83247"/>
    <w:rsid w:val="00A845BC"/>
    <w:rsid w:val="00A855C4"/>
    <w:rsid w:val="00A86033"/>
    <w:rsid w:val="00A91B35"/>
    <w:rsid w:val="00A92119"/>
    <w:rsid w:val="00A93BAC"/>
    <w:rsid w:val="00A97185"/>
    <w:rsid w:val="00A97556"/>
    <w:rsid w:val="00AA0B2F"/>
    <w:rsid w:val="00AA1BDC"/>
    <w:rsid w:val="00AA1BE1"/>
    <w:rsid w:val="00AA1FD1"/>
    <w:rsid w:val="00AA339B"/>
    <w:rsid w:val="00AA6B6A"/>
    <w:rsid w:val="00AB06B6"/>
    <w:rsid w:val="00AB407C"/>
    <w:rsid w:val="00AB77E7"/>
    <w:rsid w:val="00AC0A12"/>
    <w:rsid w:val="00AC2857"/>
    <w:rsid w:val="00AC506B"/>
    <w:rsid w:val="00AD1A58"/>
    <w:rsid w:val="00AD1FD8"/>
    <w:rsid w:val="00AD299F"/>
    <w:rsid w:val="00AD4895"/>
    <w:rsid w:val="00AD6E47"/>
    <w:rsid w:val="00AE0E0B"/>
    <w:rsid w:val="00AE1FF9"/>
    <w:rsid w:val="00AE429D"/>
    <w:rsid w:val="00AE62B0"/>
    <w:rsid w:val="00AF221B"/>
    <w:rsid w:val="00AF3C6C"/>
    <w:rsid w:val="00AF66D0"/>
    <w:rsid w:val="00AF79C2"/>
    <w:rsid w:val="00B00E47"/>
    <w:rsid w:val="00B00F84"/>
    <w:rsid w:val="00B01532"/>
    <w:rsid w:val="00B02895"/>
    <w:rsid w:val="00B03F78"/>
    <w:rsid w:val="00B11129"/>
    <w:rsid w:val="00B11AE9"/>
    <w:rsid w:val="00B15837"/>
    <w:rsid w:val="00B23397"/>
    <w:rsid w:val="00B311EE"/>
    <w:rsid w:val="00B32098"/>
    <w:rsid w:val="00B33C8F"/>
    <w:rsid w:val="00B35D27"/>
    <w:rsid w:val="00B44E69"/>
    <w:rsid w:val="00B54087"/>
    <w:rsid w:val="00B544ED"/>
    <w:rsid w:val="00B54B42"/>
    <w:rsid w:val="00B54D4C"/>
    <w:rsid w:val="00B55A11"/>
    <w:rsid w:val="00B572F8"/>
    <w:rsid w:val="00B57BF6"/>
    <w:rsid w:val="00B605EE"/>
    <w:rsid w:val="00B63833"/>
    <w:rsid w:val="00B63B78"/>
    <w:rsid w:val="00B66372"/>
    <w:rsid w:val="00B66AB6"/>
    <w:rsid w:val="00B80A5E"/>
    <w:rsid w:val="00B828A2"/>
    <w:rsid w:val="00B93A9B"/>
    <w:rsid w:val="00B95C7C"/>
    <w:rsid w:val="00B9636A"/>
    <w:rsid w:val="00BA0EBD"/>
    <w:rsid w:val="00BA10AB"/>
    <w:rsid w:val="00BB3F43"/>
    <w:rsid w:val="00BB58DC"/>
    <w:rsid w:val="00BC00AE"/>
    <w:rsid w:val="00BC02CF"/>
    <w:rsid w:val="00BC7E21"/>
    <w:rsid w:val="00BD4C15"/>
    <w:rsid w:val="00BD60FB"/>
    <w:rsid w:val="00BE0F27"/>
    <w:rsid w:val="00BE11FE"/>
    <w:rsid w:val="00BE2BB7"/>
    <w:rsid w:val="00BE49A1"/>
    <w:rsid w:val="00BE4BCB"/>
    <w:rsid w:val="00BE5492"/>
    <w:rsid w:val="00BF0021"/>
    <w:rsid w:val="00BF2196"/>
    <w:rsid w:val="00BF2287"/>
    <w:rsid w:val="00BF25CF"/>
    <w:rsid w:val="00BF4FF7"/>
    <w:rsid w:val="00BF5BA2"/>
    <w:rsid w:val="00BF68B0"/>
    <w:rsid w:val="00C01679"/>
    <w:rsid w:val="00C042BE"/>
    <w:rsid w:val="00C06D6B"/>
    <w:rsid w:val="00C1080B"/>
    <w:rsid w:val="00C11693"/>
    <w:rsid w:val="00C12FB8"/>
    <w:rsid w:val="00C14665"/>
    <w:rsid w:val="00C14D48"/>
    <w:rsid w:val="00C175C1"/>
    <w:rsid w:val="00C20DC5"/>
    <w:rsid w:val="00C22697"/>
    <w:rsid w:val="00C33599"/>
    <w:rsid w:val="00C347EB"/>
    <w:rsid w:val="00C35C53"/>
    <w:rsid w:val="00C3679B"/>
    <w:rsid w:val="00C46385"/>
    <w:rsid w:val="00C50D91"/>
    <w:rsid w:val="00C52D6F"/>
    <w:rsid w:val="00C5374B"/>
    <w:rsid w:val="00C543C4"/>
    <w:rsid w:val="00C55BA9"/>
    <w:rsid w:val="00C5686D"/>
    <w:rsid w:val="00C56E32"/>
    <w:rsid w:val="00C57C9E"/>
    <w:rsid w:val="00C60018"/>
    <w:rsid w:val="00C64D48"/>
    <w:rsid w:val="00C666B9"/>
    <w:rsid w:val="00C72E46"/>
    <w:rsid w:val="00C72EE8"/>
    <w:rsid w:val="00C7606A"/>
    <w:rsid w:val="00C767CF"/>
    <w:rsid w:val="00C77312"/>
    <w:rsid w:val="00C77F48"/>
    <w:rsid w:val="00C809C0"/>
    <w:rsid w:val="00C82D81"/>
    <w:rsid w:val="00C85313"/>
    <w:rsid w:val="00C85324"/>
    <w:rsid w:val="00C85D06"/>
    <w:rsid w:val="00C86E60"/>
    <w:rsid w:val="00C86E85"/>
    <w:rsid w:val="00C9764C"/>
    <w:rsid w:val="00C97A53"/>
    <w:rsid w:val="00CA00C9"/>
    <w:rsid w:val="00CA5DBF"/>
    <w:rsid w:val="00CA6E50"/>
    <w:rsid w:val="00CA70B9"/>
    <w:rsid w:val="00CC0E3D"/>
    <w:rsid w:val="00CC7AE8"/>
    <w:rsid w:val="00CD0AF4"/>
    <w:rsid w:val="00CD3051"/>
    <w:rsid w:val="00CD71FA"/>
    <w:rsid w:val="00CD739E"/>
    <w:rsid w:val="00CD76A4"/>
    <w:rsid w:val="00CE1AF4"/>
    <w:rsid w:val="00CE381F"/>
    <w:rsid w:val="00CE3A50"/>
    <w:rsid w:val="00CE5BCA"/>
    <w:rsid w:val="00CE5D1A"/>
    <w:rsid w:val="00CE5D9C"/>
    <w:rsid w:val="00CE6962"/>
    <w:rsid w:val="00CE7374"/>
    <w:rsid w:val="00CF0675"/>
    <w:rsid w:val="00CF14CB"/>
    <w:rsid w:val="00CF1547"/>
    <w:rsid w:val="00CF1892"/>
    <w:rsid w:val="00CF1C13"/>
    <w:rsid w:val="00CF7AEB"/>
    <w:rsid w:val="00D00554"/>
    <w:rsid w:val="00D022A6"/>
    <w:rsid w:val="00D03F3A"/>
    <w:rsid w:val="00D06629"/>
    <w:rsid w:val="00D07CBC"/>
    <w:rsid w:val="00D115FE"/>
    <w:rsid w:val="00D1369B"/>
    <w:rsid w:val="00D164CA"/>
    <w:rsid w:val="00D27B3D"/>
    <w:rsid w:val="00D31FC1"/>
    <w:rsid w:val="00D340FD"/>
    <w:rsid w:val="00D424E7"/>
    <w:rsid w:val="00D42B83"/>
    <w:rsid w:val="00D4782B"/>
    <w:rsid w:val="00D50C13"/>
    <w:rsid w:val="00D526BD"/>
    <w:rsid w:val="00D54C36"/>
    <w:rsid w:val="00D60EAE"/>
    <w:rsid w:val="00D64775"/>
    <w:rsid w:val="00D64A06"/>
    <w:rsid w:val="00D65A62"/>
    <w:rsid w:val="00D674C3"/>
    <w:rsid w:val="00D70467"/>
    <w:rsid w:val="00D70F5A"/>
    <w:rsid w:val="00D74915"/>
    <w:rsid w:val="00D75B63"/>
    <w:rsid w:val="00D81F5B"/>
    <w:rsid w:val="00D8303B"/>
    <w:rsid w:val="00D87021"/>
    <w:rsid w:val="00D873D0"/>
    <w:rsid w:val="00D97316"/>
    <w:rsid w:val="00DB0A08"/>
    <w:rsid w:val="00DB1355"/>
    <w:rsid w:val="00DB1CB0"/>
    <w:rsid w:val="00DB3320"/>
    <w:rsid w:val="00DB42EB"/>
    <w:rsid w:val="00DB4BE4"/>
    <w:rsid w:val="00DB5718"/>
    <w:rsid w:val="00DB6D5A"/>
    <w:rsid w:val="00DB6E52"/>
    <w:rsid w:val="00DC0BDD"/>
    <w:rsid w:val="00DC30CF"/>
    <w:rsid w:val="00DC3B8C"/>
    <w:rsid w:val="00DC6611"/>
    <w:rsid w:val="00DC78E2"/>
    <w:rsid w:val="00DD2482"/>
    <w:rsid w:val="00DD317B"/>
    <w:rsid w:val="00DE2AB7"/>
    <w:rsid w:val="00DE460A"/>
    <w:rsid w:val="00DE5566"/>
    <w:rsid w:val="00DF1B11"/>
    <w:rsid w:val="00DF1BA4"/>
    <w:rsid w:val="00DF5F52"/>
    <w:rsid w:val="00DF6AA1"/>
    <w:rsid w:val="00E00757"/>
    <w:rsid w:val="00E021C2"/>
    <w:rsid w:val="00E03B74"/>
    <w:rsid w:val="00E065A1"/>
    <w:rsid w:val="00E14AFF"/>
    <w:rsid w:val="00E152B2"/>
    <w:rsid w:val="00E167A3"/>
    <w:rsid w:val="00E23D95"/>
    <w:rsid w:val="00E23EB2"/>
    <w:rsid w:val="00E25673"/>
    <w:rsid w:val="00E30C42"/>
    <w:rsid w:val="00E32331"/>
    <w:rsid w:val="00E326AB"/>
    <w:rsid w:val="00E459CD"/>
    <w:rsid w:val="00E45D10"/>
    <w:rsid w:val="00E45E35"/>
    <w:rsid w:val="00E46273"/>
    <w:rsid w:val="00E574BF"/>
    <w:rsid w:val="00E61578"/>
    <w:rsid w:val="00E62705"/>
    <w:rsid w:val="00E66875"/>
    <w:rsid w:val="00E748C8"/>
    <w:rsid w:val="00E76F5C"/>
    <w:rsid w:val="00E77E18"/>
    <w:rsid w:val="00E862BD"/>
    <w:rsid w:val="00E90677"/>
    <w:rsid w:val="00E91126"/>
    <w:rsid w:val="00E9779E"/>
    <w:rsid w:val="00E97CAF"/>
    <w:rsid w:val="00EA43E4"/>
    <w:rsid w:val="00EA752B"/>
    <w:rsid w:val="00EB1665"/>
    <w:rsid w:val="00EB1AA7"/>
    <w:rsid w:val="00EB61B6"/>
    <w:rsid w:val="00EC47AB"/>
    <w:rsid w:val="00EC59AF"/>
    <w:rsid w:val="00EC66D0"/>
    <w:rsid w:val="00EC7A7A"/>
    <w:rsid w:val="00ED03E1"/>
    <w:rsid w:val="00ED715F"/>
    <w:rsid w:val="00EE38F7"/>
    <w:rsid w:val="00EE4AD6"/>
    <w:rsid w:val="00EF2032"/>
    <w:rsid w:val="00EF4A92"/>
    <w:rsid w:val="00F02320"/>
    <w:rsid w:val="00F04BB3"/>
    <w:rsid w:val="00F05479"/>
    <w:rsid w:val="00F06113"/>
    <w:rsid w:val="00F07926"/>
    <w:rsid w:val="00F11D45"/>
    <w:rsid w:val="00F11D79"/>
    <w:rsid w:val="00F16117"/>
    <w:rsid w:val="00F167CB"/>
    <w:rsid w:val="00F17836"/>
    <w:rsid w:val="00F20B5B"/>
    <w:rsid w:val="00F26BC4"/>
    <w:rsid w:val="00F27D1F"/>
    <w:rsid w:val="00F30C6E"/>
    <w:rsid w:val="00F318E1"/>
    <w:rsid w:val="00F33397"/>
    <w:rsid w:val="00F42F23"/>
    <w:rsid w:val="00F44574"/>
    <w:rsid w:val="00F45AC5"/>
    <w:rsid w:val="00F50631"/>
    <w:rsid w:val="00F51D3B"/>
    <w:rsid w:val="00F52CF0"/>
    <w:rsid w:val="00F550CC"/>
    <w:rsid w:val="00F561E8"/>
    <w:rsid w:val="00F566B0"/>
    <w:rsid w:val="00F607C2"/>
    <w:rsid w:val="00F61141"/>
    <w:rsid w:val="00F61278"/>
    <w:rsid w:val="00F6324E"/>
    <w:rsid w:val="00F72284"/>
    <w:rsid w:val="00F7415C"/>
    <w:rsid w:val="00F75598"/>
    <w:rsid w:val="00F756B0"/>
    <w:rsid w:val="00F77296"/>
    <w:rsid w:val="00F77381"/>
    <w:rsid w:val="00F82AF3"/>
    <w:rsid w:val="00F82D40"/>
    <w:rsid w:val="00F85217"/>
    <w:rsid w:val="00F86AE8"/>
    <w:rsid w:val="00F87271"/>
    <w:rsid w:val="00F918BD"/>
    <w:rsid w:val="00F96960"/>
    <w:rsid w:val="00FA2109"/>
    <w:rsid w:val="00FA347F"/>
    <w:rsid w:val="00FA7927"/>
    <w:rsid w:val="00FB242C"/>
    <w:rsid w:val="00FB328E"/>
    <w:rsid w:val="00FB4B5F"/>
    <w:rsid w:val="00FC48CA"/>
    <w:rsid w:val="00FC4A4E"/>
    <w:rsid w:val="00FC4E4C"/>
    <w:rsid w:val="00FD16D9"/>
    <w:rsid w:val="00FD1DA8"/>
    <w:rsid w:val="00FD5C8B"/>
    <w:rsid w:val="00FD79CB"/>
    <w:rsid w:val="00FE58C2"/>
    <w:rsid w:val="00FE6138"/>
    <w:rsid w:val="00FE73FB"/>
    <w:rsid w:val="00FF27FA"/>
    <w:rsid w:val="00FF384C"/>
    <w:rsid w:val="00FF682A"/>
    <w:rsid w:val="00FF683E"/>
    <w:rsid w:val="00FF6E9C"/>
    <w:rsid w:val="00FF78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DA"/>
  </w:style>
  <w:style w:type="paragraph" w:styleId="Ttulo1">
    <w:name w:val="heading 1"/>
    <w:basedOn w:val="Normal"/>
    <w:next w:val="Normal"/>
    <w:link w:val="Ttulo1Car"/>
    <w:qFormat/>
    <w:rsid w:val="00A21EFB"/>
    <w:pPr>
      <w:keepNext/>
      <w:spacing w:before="240" w:after="60" w:line="240" w:lineRule="auto"/>
      <w:jc w:val="center"/>
      <w:outlineLvl w:val="0"/>
    </w:pPr>
    <w:rPr>
      <w:rFonts w:ascii="Arial" w:eastAsia="Times New Roman" w:hAnsi="Arial" w:cs="Times New Roman"/>
      <w:b/>
      <w:kern w:val="28"/>
      <w:sz w:val="24"/>
      <w:szCs w:val="20"/>
      <w:lang w:eastAsia="es-ES"/>
    </w:rPr>
  </w:style>
  <w:style w:type="paragraph" w:styleId="Ttulo2">
    <w:name w:val="heading 2"/>
    <w:basedOn w:val="Normal"/>
    <w:next w:val="Normal"/>
    <w:link w:val="Ttulo2Car"/>
    <w:unhideWhenUsed/>
    <w:qFormat/>
    <w:rsid w:val="00F7415C"/>
    <w:pPr>
      <w:keepNext/>
      <w:spacing w:before="240" w:after="60" w:line="240" w:lineRule="auto"/>
      <w:outlineLvl w:val="1"/>
    </w:pPr>
    <w:rPr>
      <w:rFonts w:ascii="Arial" w:eastAsia="Times New Roman" w:hAnsi="Arial" w:cs="Times New Roman"/>
      <w:b/>
      <w:i/>
      <w:sz w:val="24"/>
      <w:szCs w:val="20"/>
      <w:lang w:eastAsia="es-ES"/>
    </w:rPr>
  </w:style>
  <w:style w:type="paragraph" w:styleId="Ttulo3">
    <w:name w:val="heading 3"/>
    <w:basedOn w:val="Normal"/>
    <w:next w:val="Normal"/>
    <w:link w:val="Ttulo3Car"/>
    <w:semiHidden/>
    <w:unhideWhenUsed/>
    <w:qFormat/>
    <w:rsid w:val="00F7415C"/>
    <w:pPr>
      <w:keepNext/>
      <w:spacing w:before="240" w:after="60" w:line="240" w:lineRule="auto"/>
      <w:outlineLvl w:val="2"/>
    </w:pPr>
    <w:rPr>
      <w:rFonts w:ascii="Arial" w:eastAsia="Times New Roman" w:hAnsi="Arial" w:cs="Times New Roman"/>
      <w:sz w:val="24"/>
      <w:szCs w:val="20"/>
      <w:lang w:eastAsia="es-ES"/>
    </w:rPr>
  </w:style>
  <w:style w:type="paragraph" w:styleId="Ttulo4">
    <w:name w:val="heading 4"/>
    <w:basedOn w:val="Normal"/>
    <w:next w:val="Normal"/>
    <w:link w:val="Ttulo4Car"/>
    <w:semiHidden/>
    <w:unhideWhenUsed/>
    <w:qFormat/>
    <w:rsid w:val="00F7415C"/>
    <w:pPr>
      <w:keepNext/>
      <w:spacing w:after="0" w:line="360" w:lineRule="auto"/>
      <w:jc w:val="center"/>
      <w:outlineLvl w:val="3"/>
    </w:pPr>
    <w:rPr>
      <w:rFonts w:ascii="Arial" w:eastAsia="Times New Roman" w:hAnsi="Arial" w:cs="Arial"/>
      <w:sz w:val="28"/>
      <w:szCs w:val="20"/>
      <w:lang w:val="es-ES_tradnl" w:eastAsia="es-ES"/>
    </w:rPr>
  </w:style>
  <w:style w:type="paragraph" w:styleId="Ttulo5">
    <w:name w:val="heading 5"/>
    <w:basedOn w:val="Normal"/>
    <w:next w:val="Normal"/>
    <w:link w:val="Ttulo5Car"/>
    <w:semiHidden/>
    <w:unhideWhenUsed/>
    <w:qFormat/>
    <w:rsid w:val="00F7415C"/>
    <w:pPr>
      <w:keepNext/>
      <w:widowControl w:val="0"/>
      <w:autoSpaceDE w:val="0"/>
      <w:autoSpaceDN w:val="0"/>
      <w:adjustRightInd w:val="0"/>
      <w:spacing w:after="0" w:line="360" w:lineRule="auto"/>
      <w:ind w:firstLine="720"/>
      <w:jc w:val="both"/>
      <w:outlineLvl w:val="4"/>
    </w:pPr>
    <w:rPr>
      <w:rFonts w:ascii="Times New Roman" w:eastAsia="Times New Roman" w:hAnsi="Times New Roman" w:cs="Times New Roman"/>
      <w:b/>
      <w:sz w:val="24"/>
      <w:szCs w:val="24"/>
      <w:lang w:val="es-ES_tradnl" w:eastAsia="es-ES"/>
    </w:rPr>
  </w:style>
  <w:style w:type="paragraph" w:styleId="Ttulo6">
    <w:name w:val="heading 6"/>
    <w:basedOn w:val="Normal"/>
    <w:next w:val="Normal"/>
    <w:link w:val="Ttulo6Car"/>
    <w:semiHidden/>
    <w:unhideWhenUsed/>
    <w:qFormat/>
    <w:rsid w:val="00F7415C"/>
    <w:pPr>
      <w:keepNext/>
      <w:spacing w:after="0" w:line="240" w:lineRule="auto"/>
      <w:jc w:val="both"/>
      <w:outlineLvl w:val="5"/>
    </w:pPr>
    <w:rPr>
      <w:rFonts w:ascii="Arial" w:eastAsia="Times New Roman" w:hAnsi="Arial" w:cs="Times New Roman"/>
      <w:b/>
      <w:sz w:val="24"/>
      <w:szCs w:val="20"/>
      <w:lang w:eastAsia="es-ES"/>
    </w:rPr>
  </w:style>
  <w:style w:type="paragraph" w:styleId="Ttulo7">
    <w:name w:val="heading 7"/>
    <w:basedOn w:val="Normal"/>
    <w:next w:val="Normal"/>
    <w:link w:val="Ttulo7Car"/>
    <w:semiHidden/>
    <w:unhideWhenUsed/>
    <w:qFormat/>
    <w:rsid w:val="00F7415C"/>
    <w:pPr>
      <w:keepNext/>
      <w:spacing w:after="0" w:line="240" w:lineRule="auto"/>
      <w:ind w:left="2832" w:firstLine="708"/>
      <w:jc w:val="both"/>
      <w:outlineLvl w:val="6"/>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1EFB"/>
    <w:rPr>
      <w:rFonts w:ascii="Arial" w:eastAsia="Times New Roman" w:hAnsi="Arial" w:cs="Times New Roman"/>
      <w:b/>
      <w:kern w:val="28"/>
      <w:sz w:val="24"/>
      <w:szCs w:val="20"/>
      <w:lang w:eastAsia="es-ES"/>
    </w:rPr>
  </w:style>
  <w:style w:type="character" w:customStyle="1" w:styleId="Ttulo2Car">
    <w:name w:val="Título 2 Car"/>
    <w:basedOn w:val="Fuentedeprrafopredeter"/>
    <w:link w:val="Ttulo2"/>
    <w:rsid w:val="00F7415C"/>
    <w:rPr>
      <w:rFonts w:ascii="Arial" w:eastAsia="Times New Roman" w:hAnsi="Arial" w:cs="Times New Roman"/>
      <w:b/>
      <w:i/>
      <w:sz w:val="24"/>
      <w:szCs w:val="20"/>
      <w:lang w:eastAsia="es-ES"/>
    </w:rPr>
  </w:style>
  <w:style w:type="character" w:customStyle="1" w:styleId="Ttulo3Car">
    <w:name w:val="Título 3 Car"/>
    <w:basedOn w:val="Fuentedeprrafopredeter"/>
    <w:link w:val="Ttulo3"/>
    <w:semiHidden/>
    <w:rsid w:val="00F7415C"/>
    <w:rPr>
      <w:rFonts w:ascii="Arial" w:eastAsia="Times New Roman" w:hAnsi="Arial" w:cs="Times New Roman"/>
      <w:sz w:val="24"/>
      <w:szCs w:val="20"/>
      <w:lang w:eastAsia="es-ES"/>
    </w:rPr>
  </w:style>
  <w:style w:type="character" w:customStyle="1" w:styleId="Ttulo4Car">
    <w:name w:val="Título 4 Car"/>
    <w:basedOn w:val="Fuentedeprrafopredeter"/>
    <w:link w:val="Ttulo4"/>
    <w:semiHidden/>
    <w:rsid w:val="00F7415C"/>
    <w:rPr>
      <w:rFonts w:ascii="Arial" w:eastAsia="Times New Roman" w:hAnsi="Arial" w:cs="Arial"/>
      <w:sz w:val="28"/>
      <w:szCs w:val="20"/>
      <w:lang w:val="es-ES_tradnl" w:eastAsia="es-ES"/>
    </w:rPr>
  </w:style>
  <w:style w:type="character" w:customStyle="1" w:styleId="Ttulo5Car">
    <w:name w:val="Título 5 Car"/>
    <w:basedOn w:val="Fuentedeprrafopredeter"/>
    <w:link w:val="Ttulo5"/>
    <w:semiHidden/>
    <w:rsid w:val="00F7415C"/>
    <w:rPr>
      <w:rFonts w:ascii="Times New Roman" w:eastAsia="Times New Roman" w:hAnsi="Times New Roman" w:cs="Times New Roman"/>
      <w:b/>
      <w:sz w:val="24"/>
      <w:szCs w:val="24"/>
      <w:lang w:val="es-ES_tradnl" w:eastAsia="es-ES"/>
    </w:rPr>
  </w:style>
  <w:style w:type="character" w:customStyle="1" w:styleId="Ttulo6Car">
    <w:name w:val="Título 6 Car"/>
    <w:basedOn w:val="Fuentedeprrafopredeter"/>
    <w:link w:val="Ttulo6"/>
    <w:semiHidden/>
    <w:rsid w:val="00F7415C"/>
    <w:rPr>
      <w:rFonts w:ascii="Arial" w:eastAsia="Times New Roman" w:hAnsi="Arial" w:cs="Times New Roman"/>
      <w:b/>
      <w:sz w:val="24"/>
      <w:szCs w:val="20"/>
      <w:lang w:eastAsia="es-ES"/>
    </w:rPr>
  </w:style>
  <w:style w:type="character" w:customStyle="1" w:styleId="Ttulo7Car">
    <w:name w:val="Título 7 Car"/>
    <w:basedOn w:val="Fuentedeprrafopredeter"/>
    <w:link w:val="Ttulo7"/>
    <w:semiHidden/>
    <w:rsid w:val="00F7415C"/>
    <w:rPr>
      <w:rFonts w:ascii="Arial" w:eastAsia="Times New Roman" w:hAnsi="Arial" w:cs="Times New Roman"/>
      <w:b/>
      <w:sz w:val="24"/>
      <w:szCs w:val="20"/>
      <w:lang w:eastAsia="es-ES"/>
    </w:rPr>
  </w:style>
  <w:style w:type="character" w:styleId="Hipervnculo">
    <w:name w:val="Hyperlink"/>
    <w:uiPriority w:val="99"/>
    <w:unhideWhenUsed/>
    <w:rsid w:val="00F7415C"/>
    <w:rPr>
      <w:color w:val="0000FF"/>
      <w:u w:val="single"/>
    </w:rPr>
  </w:style>
  <w:style w:type="character" w:styleId="Hipervnculovisitado">
    <w:name w:val="FollowedHyperlink"/>
    <w:semiHidden/>
    <w:unhideWhenUsed/>
    <w:rsid w:val="00F7415C"/>
    <w:rPr>
      <w:color w:val="800080"/>
      <w:u w:val="single"/>
    </w:rPr>
  </w:style>
  <w:style w:type="character" w:styleId="nfasis">
    <w:name w:val="Emphasis"/>
    <w:qFormat/>
    <w:rsid w:val="00F7415C"/>
    <w:rPr>
      <w:i/>
      <w:iCs w:val="0"/>
    </w:rPr>
  </w:style>
  <w:style w:type="character" w:styleId="Textoennegrita">
    <w:name w:val="Strong"/>
    <w:qFormat/>
    <w:rsid w:val="00F7415C"/>
    <w:rPr>
      <w:b/>
      <w:bCs w:val="0"/>
    </w:rPr>
  </w:style>
  <w:style w:type="paragraph" w:styleId="NormalWeb">
    <w:name w:val="Normal (Web)"/>
    <w:basedOn w:val="Normal"/>
    <w:semiHidden/>
    <w:unhideWhenUsed/>
    <w:rsid w:val="00F7415C"/>
    <w:pPr>
      <w:spacing w:before="100" w:after="100" w:line="240" w:lineRule="auto"/>
    </w:pPr>
    <w:rPr>
      <w:rFonts w:ascii="Times New Roman" w:eastAsia="Times New Roman" w:hAnsi="Times New Roman" w:cs="Times New Roman"/>
      <w:sz w:val="24"/>
      <w:szCs w:val="20"/>
      <w:lang w:eastAsia="es-ES"/>
    </w:rPr>
  </w:style>
  <w:style w:type="character" w:customStyle="1" w:styleId="TextonotapieCar">
    <w:name w:val="Texto nota pie Car"/>
    <w:aliases w:val="Footnote TextCSR Car"/>
    <w:basedOn w:val="Fuentedeprrafopredeter"/>
    <w:link w:val="Textonotapie"/>
    <w:uiPriority w:val="99"/>
    <w:semiHidden/>
    <w:locked/>
    <w:rsid w:val="00F7415C"/>
    <w:rPr>
      <w:rFonts w:ascii="Times New Roman" w:eastAsia="Times New Roman" w:hAnsi="Times New Roman" w:cs="Times New Roman"/>
      <w:sz w:val="20"/>
      <w:szCs w:val="20"/>
      <w:lang w:eastAsia="es-ES"/>
    </w:rPr>
  </w:style>
  <w:style w:type="paragraph" w:styleId="Textonotapie">
    <w:name w:val="footnote text"/>
    <w:aliases w:val="Footnote TextCSR"/>
    <w:basedOn w:val="Normal"/>
    <w:link w:val="TextonotapieCar"/>
    <w:uiPriority w:val="99"/>
    <w:semiHidden/>
    <w:unhideWhenUsed/>
    <w:rsid w:val="00F7415C"/>
    <w:pPr>
      <w:spacing w:after="0" w:line="240" w:lineRule="auto"/>
    </w:pPr>
    <w:rPr>
      <w:rFonts w:ascii="Times New Roman" w:eastAsia="Times New Roman" w:hAnsi="Times New Roman" w:cs="Times New Roman"/>
      <w:sz w:val="20"/>
      <w:szCs w:val="20"/>
      <w:lang w:eastAsia="es-ES"/>
    </w:rPr>
  </w:style>
  <w:style w:type="character" w:customStyle="1" w:styleId="TextonotapieCar1">
    <w:name w:val="Texto nota pie Car1"/>
    <w:aliases w:val="Footnote TextCSR Car1"/>
    <w:basedOn w:val="Fuentedeprrafopredeter"/>
    <w:uiPriority w:val="99"/>
    <w:semiHidden/>
    <w:rsid w:val="00F7415C"/>
    <w:rPr>
      <w:sz w:val="20"/>
      <w:szCs w:val="20"/>
    </w:rPr>
  </w:style>
  <w:style w:type="paragraph" w:styleId="Textocomentario">
    <w:name w:val="annotation text"/>
    <w:basedOn w:val="Normal"/>
    <w:link w:val="TextocomentarioCar"/>
    <w:semiHidden/>
    <w:unhideWhenUsed/>
    <w:rsid w:val="00F7415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F7415C"/>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F7415C"/>
    <w:pPr>
      <w:tabs>
        <w:tab w:val="center" w:pos="4252"/>
        <w:tab w:val="right" w:pos="8504"/>
      </w:tabs>
      <w:spacing w:after="0" w:line="240" w:lineRule="auto"/>
    </w:pPr>
    <w:rPr>
      <w:rFonts w:ascii="Arial" w:eastAsia="Times New Roman" w:hAnsi="Arial" w:cs="Times New Roman"/>
      <w:sz w:val="24"/>
      <w:szCs w:val="20"/>
      <w:lang w:eastAsia="es-ES"/>
    </w:rPr>
  </w:style>
  <w:style w:type="character" w:customStyle="1" w:styleId="EncabezadoCar">
    <w:name w:val="Encabezado Car"/>
    <w:basedOn w:val="Fuentedeprrafopredeter"/>
    <w:link w:val="Encabezado"/>
    <w:rsid w:val="00F7415C"/>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F7415C"/>
    <w:pPr>
      <w:tabs>
        <w:tab w:val="center" w:pos="4252"/>
        <w:tab w:val="right" w:pos="8504"/>
      </w:tabs>
      <w:spacing w:after="0" w:line="240" w:lineRule="auto"/>
    </w:pPr>
    <w:rPr>
      <w:rFonts w:ascii="Arial" w:eastAsia="Times New Roman" w:hAnsi="Arial" w:cs="Times New Roman"/>
      <w:sz w:val="24"/>
      <w:szCs w:val="20"/>
      <w:lang w:eastAsia="es-ES"/>
    </w:rPr>
  </w:style>
  <w:style w:type="character" w:customStyle="1" w:styleId="PiedepginaCar">
    <w:name w:val="Pie de página Car"/>
    <w:basedOn w:val="Fuentedeprrafopredeter"/>
    <w:link w:val="Piedepgina"/>
    <w:uiPriority w:val="99"/>
    <w:rsid w:val="00F7415C"/>
    <w:rPr>
      <w:rFonts w:ascii="Arial" w:eastAsia="Times New Roman" w:hAnsi="Arial" w:cs="Times New Roman"/>
      <w:sz w:val="24"/>
      <w:szCs w:val="20"/>
      <w:lang w:eastAsia="es-ES"/>
    </w:rPr>
  </w:style>
  <w:style w:type="paragraph" w:styleId="Ttulo">
    <w:name w:val="Title"/>
    <w:basedOn w:val="Normal"/>
    <w:link w:val="TtuloCar"/>
    <w:qFormat/>
    <w:rsid w:val="00F7415C"/>
    <w:pPr>
      <w:spacing w:after="0" w:line="240" w:lineRule="auto"/>
      <w:jc w:val="center"/>
    </w:pPr>
    <w:rPr>
      <w:rFonts w:ascii="Times New Roman" w:eastAsia="Times New Roman" w:hAnsi="Times New Roman" w:cs="Times New Roman"/>
      <w:b/>
      <w:sz w:val="24"/>
      <w:szCs w:val="20"/>
      <w:lang w:eastAsia="es-ES"/>
    </w:rPr>
  </w:style>
  <w:style w:type="character" w:customStyle="1" w:styleId="TtuloCar">
    <w:name w:val="Título Car"/>
    <w:basedOn w:val="Fuentedeprrafopredeter"/>
    <w:link w:val="Ttulo"/>
    <w:rsid w:val="00F7415C"/>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semiHidden/>
    <w:unhideWhenUsed/>
    <w:rsid w:val="00F7415C"/>
    <w:pPr>
      <w:suppressAutoHyphens/>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semiHidden/>
    <w:rsid w:val="00F7415C"/>
    <w:rPr>
      <w:rFonts w:ascii="Arial" w:eastAsia="Times New Roman" w:hAnsi="Arial" w:cs="Arial"/>
      <w:sz w:val="24"/>
      <w:szCs w:val="24"/>
      <w:lang w:eastAsia="es-ES"/>
    </w:rPr>
  </w:style>
  <w:style w:type="paragraph" w:styleId="Sangradetextonormal">
    <w:name w:val="Body Text Indent"/>
    <w:basedOn w:val="Normal"/>
    <w:link w:val="SangradetextonormalCar"/>
    <w:semiHidden/>
    <w:unhideWhenUsed/>
    <w:rsid w:val="00F7415C"/>
    <w:pPr>
      <w:spacing w:after="0" w:line="360" w:lineRule="auto"/>
      <w:ind w:firstLine="709"/>
      <w:jc w:val="both"/>
    </w:pPr>
    <w:rPr>
      <w:rFonts w:ascii="Arial" w:eastAsia="Times New Roman" w:hAnsi="Arial" w:cs="Times New Roman"/>
      <w:sz w:val="24"/>
      <w:szCs w:val="20"/>
      <w:lang w:eastAsia="es-ES"/>
    </w:rPr>
  </w:style>
  <w:style w:type="character" w:customStyle="1" w:styleId="SangradetextonormalCar">
    <w:name w:val="Sangría de texto normal Car"/>
    <w:basedOn w:val="Fuentedeprrafopredeter"/>
    <w:link w:val="Sangradetextonormal"/>
    <w:semiHidden/>
    <w:rsid w:val="00F7415C"/>
    <w:rPr>
      <w:rFonts w:ascii="Arial" w:eastAsia="Times New Roman" w:hAnsi="Arial" w:cs="Times New Roman"/>
      <w:sz w:val="24"/>
      <w:szCs w:val="20"/>
      <w:lang w:eastAsia="es-ES"/>
    </w:rPr>
  </w:style>
  <w:style w:type="paragraph" w:styleId="Textoindependiente2">
    <w:name w:val="Body Text 2"/>
    <w:basedOn w:val="Normal"/>
    <w:link w:val="Textoindependiente2Car"/>
    <w:semiHidden/>
    <w:unhideWhenUsed/>
    <w:rsid w:val="00F7415C"/>
    <w:pPr>
      <w:suppressAutoHyphens/>
      <w:spacing w:after="0" w:line="240" w:lineRule="auto"/>
      <w:jc w:val="both"/>
    </w:pPr>
    <w:rPr>
      <w:rFonts w:ascii="Arial" w:eastAsia="Times New Roman" w:hAnsi="Arial" w:cs="Arial"/>
      <w:b/>
      <w:bCs/>
      <w:sz w:val="24"/>
      <w:szCs w:val="20"/>
      <w:lang w:eastAsia="es-ES"/>
    </w:rPr>
  </w:style>
  <w:style w:type="character" w:customStyle="1" w:styleId="Textoindependiente2Car">
    <w:name w:val="Texto independiente 2 Car"/>
    <w:basedOn w:val="Fuentedeprrafopredeter"/>
    <w:link w:val="Textoindependiente2"/>
    <w:semiHidden/>
    <w:rsid w:val="00F7415C"/>
    <w:rPr>
      <w:rFonts w:ascii="Arial" w:eastAsia="Times New Roman" w:hAnsi="Arial" w:cs="Arial"/>
      <w:b/>
      <w:bCs/>
      <w:sz w:val="24"/>
      <w:szCs w:val="20"/>
      <w:lang w:eastAsia="es-ES"/>
    </w:rPr>
  </w:style>
  <w:style w:type="paragraph" w:styleId="Textoindependiente3">
    <w:name w:val="Body Text 3"/>
    <w:basedOn w:val="Normal"/>
    <w:link w:val="Textoindependiente3Car"/>
    <w:semiHidden/>
    <w:unhideWhenUsed/>
    <w:rsid w:val="00F7415C"/>
    <w:pPr>
      <w:spacing w:after="0" w:line="360" w:lineRule="auto"/>
      <w:jc w:val="both"/>
    </w:pPr>
    <w:rPr>
      <w:rFonts w:ascii="Arial" w:eastAsia="Times New Roman" w:hAnsi="Arial" w:cs="Arial"/>
      <w:sz w:val="24"/>
      <w:szCs w:val="20"/>
      <w:lang w:val="es-ES_tradnl" w:eastAsia="es-ES"/>
    </w:rPr>
  </w:style>
  <w:style w:type="character" w:customStyle="1" w:styleId="Textoindependiente3Car">
    <w:name w:val="Texto independiente 3 Car"/>
    <w:basedOn w:val="Fuentedeprrafopredeter"/>
    <w:link w:val="Textoindependiente3"/>
    <w:semiHidden/>
    <w:rsid w:val="00F7415C"/>
    <w:rPr>
      <w:rFonts w:ascii="Arial" w:eastAsia="Times New Roman" w:hAnsi="Arial" w:cs="Arial"/>
      <w:sz w:val="24"/>
      <w:szCs w:val="20"/>
      <w:lang w:val="es-ES_tradnl" w:eastAsia="es-ES"/>
    </w:rPr>
  </w:style>
  <w:style w:type="paragraph" w:styleId="Sangra2detindependiente">
    <w:name w:val="Body Text Indent 2"/>
    <w:basedOn w:val="Normal"/>
    <w:link w:val="Sangra2detindependienteCar"/>
    <w:semiHidden/>
    <w:unhideWhenUsed/>
    <w:rsid w:val="00F7415C"/>
    <w:pPr>
      <w:spacing w:after="0" w:line="360" w:lineRule="auto"/>
      <w:ind w:firstLine="708"/>
      <w:jc w:val="both"/>
    </w:pPr>
    <w:rPr>
      <w:rFonts w:ascii="Arial" w:eastAsia="Times New Roman" w:hAnsi="Arial" w:cs="Arial"/>
      <w:sz w:val="24"/>
      <w:szCs w:val="24"/>
      <w:lang w:eastAsia="es-ES"/>
    </w:rPr>
  </w:style>
  <w:style w:type="character" w:customStyle="1" w:styleId="Sangra2detindependienteCar">
    <w:name w:val="Sangría 2 de t. independiente Car"/>
    <w:basedOn w:val="Fuentedeprrafopredeter"/>
    <w:link w:val="Sangra2detindependiente"/>
    <w:semiHidden/>
    <w:rsid w:val="00F7415C"/>
    <w:rPr>
      <w:rFonts w:ascii="Arial" w:eastAsia="Times New Roman" w:hAnsi="Arial" w:cs="Arial"/>
      <w:sz w:val="24"/>
      <w:szCs w:val="24"/>
      <w:lang w:eastAsia="es-ES"/>
    </w:rPr>
  </w:style>
  <w:style w:type="paragraph" w:styleId="Sangra3detindependiente">
    <w:name w:val="Body Text Indent 3"/>
    <w:basedOn w:val="Normal"/>
    <w:link w:val="Sangra3detindependienteCar"/>
    <w:semiHidden/>
    <w:unhideWhenUsed/>
    <w:rsid w:val="00F7415C"/>
    <w:pPr>
      <w:spacing w:before="120" w:after="120" w:line="360" w:lineRule="auto"/>
      <w:ind w:firstLine="1134"/>
      <w:jc w:val="both"/>
    </w:pPr>
    <w:rPr>
      <w:rFonts w:ascii="Arial" w:eastAsia="Times New Roman" w:hAnsi="Arial" w:cs="Times New Roman"/>
      <w:sz w:val="24"/>
      <w:szCs w:val="20"/>
      <w:lang w:eastAsia="es-ES"/>
    </w:rPr>
  </w:style>
  <w:style w:type="character" w:customStyle="1" w:styleId="Sangra3detindependienteCar">
    <w:name w:val="Sangría 3 de t. independiente Car"/>
    <w:basedOn w:val="Fuentedeprrafopredeter"/>
    <w:link w:val="Sangra3detindependiente"/>
    <w:semiHidden/>
    <w:rsid w:val="00F7415C"/>
    <w:rPr>
      <w:rFonts w:ascii="Arial" w:eastAsia="Times New Roman" w:hAnsi="Arial" w:cs="Times New Roman"/>
      <w:sz w:val="24"/>
      <w:szCs w:val="20"/>
      <w:lang w:eastAsia="es-ES"/>
    </w:rPr>
  </w:style>
  <w:style w:type="paragraph" w:styleId="Textodebloque">
    <w:name w:val="Block Text"/>
    <w:basedOn w:val="Normal"/>
    <w:semiHidden/>
    <w:unhideWhenUsed/>
    <w:rsid w:val="00F7415C"/>
    <w:pPr>
      <w:snapToGrid w:val="0"/>
      <w:spacing w:after="0" w:line="240" w:lineRule="auto"/>
      <w:ind w:left="195" w:right="195" w:firstLine="513"/>
      <w:jc w:val="both"/>
    </w:pPr>
    <w:rPr>
      <w:rFonts w:ascii="Times New Roman" w:eastAsia="Times New Roman" w:hAnsi="Times New Roman" w:cs="Times New Roman"/>
      <w:sz w:val="24"/>
      <w:szCs w:val="20"/>
      <w:lang w:eastAsia="es-ES"/>
    </w:rPr>
  </w:style>
  <w:style w:type="paragraph" w:styleId="Mapadeldocumento">
    <w:name w:val="Document Map"/>
    <w:basedOn w:val="Normal"/>
    <w:link w:val="MapadeldocumentoCar"/>
    <w:semiHidden/>
    <w:unhideWhenUsed/>
    <w:rsid w:val="00F7415C"/>
    <w:pPr>
      <w:shd w:val="clear" w:color="auto" w:fill="000080"/>
      <w:spacing w:after="0" w:line="240" w:lineRule="auto"/>
    </w:pPr>
    <w:rPr>
      <w:rFonts w:ascii="Tahoma" w:eastAsia="Times New Roman" w:hAnsi="Tahoma" w:cs="Times New Roman"/>
      <w:sz w:val="24"/>
      <w:szCs w:val="20"/>
      <w:lang w:eastAsia="es-ES"/>
    </w:rPr>
  </w:style>
  <w:style w:type="character" w:customStyle="1" w:styleId="MapadeldocumentoCar">
    <w:name w:val="Mapa del documento Car"/>
    <w:basedOn w:val="Fuentedeprrafopredeter"/>
    <w:link w:val="Mapadeldocumento"/>
    <w:semiHidden/>
    <w:rsid w:val="00F7415C"/>
    <w:rPr>
      <w:rFonts w:ascii="Tahoma" w:eastAsia="Times New Roman" w:hAnsi="Tahoma" w:cs="Times New Roman"/>
      <w:sz w:val="24"/>
      <w:szCs w:val="20"/>
      <w:shd w:val="clear" w:color="auto" w:fill="000080"/>
      <w:lang w:eastAsia="es-ES"/>
    </w:rPr>
  </w:style>
  <w:style w:type="paragraph" w:styleId="Textosinformato">
    <w:name w:val="Plain Text"/>
    <w:basedOn w:val="Normal"/>
    <w:link w:val="TextosinformatoCar1"/>
    <w:semiHidden/>
    <w:unhideWhenUsed/>
    <w:rsid w:val="00F7415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semiHidden/>
    <w:rsid w:val="00F7415C"/>
    <w:rPr>
      <w:rFonts w:ascii="Consolas" w:hAnsi="Consolas" w:cs="Consolas"/>
      <w:sz w:val="21"/>
      <w:szCs w:val="21"/>
    </w:rPr>
  </w:style>
  <w:style w:type="paragraph" w:styleId="Asuntodelcomentario">
    <w:name w:val="annotation subject"/>
    <w:basedOn w:val="Textocomentario"/>
    <w:next w:val="Textocomentario"/>
    <w:link w:val="AsuntodelcomentarioCar"/>
    <w:semiHidden/>
    <w:unhideWhenUsed/>
    <w:rsid w:val="00F7415C"/>
    <w:rPr>
      <w:rFonts w:ascii="Arial" w:hAnsi="Arial"/>
      <w:b/>
      <w:bCs/>
    </w:rPr>
  </w:style>
  <w:style w:type="character" w:customStyle="1" w:styleId="AsuntodelcomentarioCar">
    <w:name w:val="Asunto del comentario Car"/>
    <w:basedOn w:val="TextocomentarioCar"/>
    <w:link w:val="Asuntodelcomentario"/>
    <w:semiHidden/>
    <w:rsid w:val="00F7415C"/>
    <w:rPr>
      <w:rFonts w:ascii="Arial" w:eastAsia="Times New Roman" w:hAnsi="Arial" w:cs="Times New Roman"/>
      <w:b/>
      <w:bCs/>
      <w:sz w:val="20"/>
      <w:szCs w:val="20"/>
      <w:lang w:eastAsia="es-ES"/>
    </w:rPr>
  </w:style>
  <w:style w:type="paragraph" w:styleId="Textodeglobo">
    <w:name w:val="Balloon Text"/>
    <w:basedOn w:val="Normal"/>
    <w:link w:val="TextodegloboCar"/>
    <w:semiHidden/>
    <w:unhideWhenUsed/>
    <w:rsid w:val="00F7415C"/>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F7415C"/>
    <w:rPr>
      <w:rFonts w:ascii="Tahoma" w:eastAsia="Times New Roman" w:hAnsi="Tahoma" w:cs="Tahoma"/>
      <w:sz w:val="16"/>
      <w:szCs w:val="16"/>
      <w:lang w:eastAsia="es-ES"/>
    </w:rPr>
  </w:style>
  <w:style w:type="paragraph" w:styleId="Revisin">
    <w:name w:val="Revision"/>
    <w:uiPriority w:val="99"/>
    <w:semiHidden/>
    <w:rsid w:val="00F7415C"/>
    <w:pPr>
      <w:spacing w:after="0" w:line="240" w:lineRule="auto"/>
    </w:pPr>
    <w:rPr>
      <w:rFonts w:ascii="Arial" w:eastAsia="Times New Roman" w:hAnsi="Arial" w:cs="Times New Roman"/>
      <w:sz w:val="24"/>
      <w:szCs w:val="20"/>
      <w:lang w:eastAsia="es-ES"/>
    </w:rPr>
  </w:style>
  <w:style w:type="paragraph" w:styleId="Prrafodelista">
    <w:name w:val="List Paragraph"/>
    <w:basedOn w:val="Normal"/>
    <w:uiPriority w:val="34"/>
    <w:qFormat/>
    <w:rsid w:val="00F7415C"/>
    <w:pPr>
      <w:spacing w:after="0" w:line="240" w:lineRule="auto"/>
      <w:ind w:left="708"/>
    </w:pPr>
    <w:rPr>
      <w:rFonts w:ascii="Arial" w:eastAsia="Times New Roman" w:hAnsi="Arial" w:cs="Times New Roman"/>
      <w:sz w:val="24"/>
      <w:szCs w:val="20"/>
      <w:lang w:eastAsia="es-ES"/>
    </w:rPr>
  </w:style>
  <w:style w:type="paragraph" w:customStyle="1" w:styleId="Pa10">
    <w:name w:val="Pa10"/>
    <w:basedOn w:val="Normal"/>
    <w:next w:val="Normal"/>
    <w:semiHidden/>
    <w:rsid w:val="00F7415C"/>
    <w:pPr>
      <w:snapToGrid w:val="0"/>
      <w:spacing w:after="0" w:line="201" w:lineRule="atLeast"/>
    </w:pPr>
    <w:rPr>
      <w:rFonts w:ascii="Arial" w:eastAsia="Times New Roman" w:hAnsi="Arial" w:cs="Times New Roman"/>
      <w:sz w:val="24"/>
      <w:szCs w:val="20"/>
      <w:lang w:eastAsia="es-ES"/>
    </w:rPr>
  </w:style>
  <w:style w:type="paragraph" w:customStyle="1" w:styleId="H4">
    <w:name w:val="H4"/>
    <w:basedOn w:val="Normal"/>
    <w:next w:val="Normal"/>
    <w:semiHidden/>
    <w:rsid w:val="00F7415C"/>
    <w:pPr>
      <w:keepNext/>
      <w:snapToGrid w:val="0"/>
      <w:spacing w:before="100" w:after="100" w:line="240" w:lineRule="auto"/>
      <w:outlineLvl w:val="4"/>
    </w:pPr>
    <w:rPr>
      <w:rFonts w:ascii="Times New Roman" w:eastAsia="Times New Roman" w:hAnsi="Times New Roman" w:cs="Times New Roman"/>
      <w:b/>
      <w:sz w:val="24"/>
      <w:szCs w:val="20"/>
      <w:lang w:eastAsia="es-ES"/>
    </w:rPr>
  </w:style>
  <w:style w:type="paragraph" w:customStyle="1" w:styleId="H3">
    <w:name w:val="H3"/>
    <w:basedOn w:val="Normal"/>
    <w:next w:val="Normal"/>
    <w:semiHidden/>
    <w:rsid w:val="00F7415C"/>
    <w:pPr>
      <w:keepNext/>
      <w:snapToGrid w:val="0"/>
      <w:spacing w:before="100" w:after="100" w:line="240" w:lineRule="auto"/>
      <w:outlineLvl w:val="3"/>
    </w:pPr>
    <w:rPr>
      <w:rFonts w:ascii="Times New Roman" w:eastAsia="Times New Roman" w:hAnsi="Times New Roman" w:cs="Times New Roman"/>
      <w:b/>
      <w:sz w:val="28"/>
      <w:szCs w:val="20"/>
      <w:lang w:eastAsia="es-ES"/>
    </w:rPr>
  </w:style>
  <w:style w:type="paragraph" w:customStyle="1" w:styleId="Default">
    <w:name w:val="Default"/>
    <w:semiHidden/>
    <w:rsid w:val="00F7415C"/>
    <w:pPr>
      <w:snapToGrid w:val="0"/>
      <w:spacing w:after="0" w:line="240" w:lineRule="auto"/>
    </w:pPr>
    <w:rPr>
      <w:rFonts w:ascii="Verdana" w:eastAsia="Times New Roman" w:hAnsi="Verdana" w:cs="Times New Roman"/>
      <w:color w:val="000000"/>
      <w:sz w:val="24"/>
      <w:szCs w:val="20"/>
      <w:lang w:eastAsia="es-ES"/>
    </w:rPr>
  </w:style>
  <w:style w:type="paragraph" w:customStyle="1" w:styleId="Textoindependiente21">
    <w:name w:val="Texto independiente 21"/>
    <w:basedOn w:val="Normal"/>
    <w:semiHidden/>
    <w:rsid w:val="00F7415C"/>
    <w:pPr>
      <w:overflowPunct w:val="0"/>
      <w:autoSpaceDE w:val="0"/>
      <w:autoSpaceDN w:val="0"/>
      <w:adjustRightInd w:val="0"/>
      <w:spacing w:after="0" w:line="240" w:lineRule="auto"/>
      <w:ind w:right="-1"/>
      <w:jc w:val="both"/>
    </w:pPr>
    <w:rPr>
      <w:rFonts w:ascii="Arial" w:eastAsia="Times New Roman" w:hAnsi="Arial" w:cs="Times New Roman"/>
      <w:sz w:val="24"/>
      <w:szCs w:val="20"/>
      <w:lang w:val="es-ES_tradnl" w:eastAsia="zh-CN"/>
    </w:rPr>
  </w:style>
  <w:style w:type="paragraph" w:customStyle="1" w:styleId="Left">
    <w:name w:val="Left"/>
    <w:semiHidden/>
    <w:rsid w:val="00F7415C"/>
    <w:pPr>
      <w:widowControl w:val="0"/>
      <w:snapToGrid w:val="0"/>
      <w:spacing w:after="0" w:line="240" w:lineRule="auto"/>
    </w:pPr>
    <w:rPr>
      <w:rFonts w:ascii="Times New Roman" w:eastAsia="Times New Roman" w:hAnsi="Times New Roman" w:cs="Times New Roman"/>
      <w:sz w:val="24"/>
      <w:szCs w:val="20"/>
      <w:lang w:eastAsia="es-ES"/>
    </w:rPr>
  </w:style>
  <w:style w:type="paragraph" w:customStyle="1" w:styleId="Textode">
    <w:name w:val="Texto de"/>
    <w:basedOn w:val="Normal"/>
    <w:semiHidden/>
    <w:rsid w:val="00F7415C"/>
    <w:pPr>
      <w:suppressAutoHyphens/>
      <w:spacing w:after="0" w:line="240" w:lineRule="auto"/>
      <w:jc w:val="center"/>
    </w:pPr>
    <w:rPr>
      <w:rFonts w:ascii="Comic Sans MS" w:eastAsia="Calibri" w:hAnsi="Comic Sans MS" w:cs="Times New Roman"/>
      <w:b/>
      <w:sz w:val="28"/>
      <w:szCs w:val="20"/>
      <w:lang w:val="es-MX" w:eastAsia="es-ES"/>
    </w:rPr>
  </w:style>
  <w:style w:type="paragraph" w:customStyle="1" w:styleId="a">
    <w:name w:val="a"/>
    <w:basedOn w:val="Normal"/>
    <w:semiHidden/>
    <w:rsid w:val="00F741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nt"/>
    <w:uiPriority w:val="99"/>
    <w:semiHidden/>
    <w:unhideWhenUsed/>
    <w:rsid w:val="00F7415C"/>
    <w:rPr>
      <w:vertAlign w:val="superscript"/>
    </w:rPr>
  </w:style>
  <w:style w:type="character" w:styleId="Refdecomentario">
    <w:name w:val="annotation reference"/>
    <w:semiHidden/>
    <w:unhideWhenUsed/>
    <w:rsid w:val="00F7415C"/>
    <w:rPr>
      <w:sz w:val="16"/>
    </w:rPr>
  </w:style>
  <w:style w:type="character" w:customStyle="1" w:styleId="CITE">
    <w:name w:val="CITE"/>
    <w:rsid w:val="00F7415C"/>
    <w:rPr>
      <w:i/>
      <w:iCs w:val="0"/>
    </w:rPr>
  </w:style>
  <w:style w:type="character" w:customStyle="1" w:styleId="TextosinformatoCar1">
    <w:name w:val="Texto sin formato Car1"/>
    <w:link w:val="Textosinformato"/>
    <w:semiHidden/>
    <w:locked/>
    <w:rsid w:val="00F7415C"/>
    <w:rPr>
      <w:rFonts w:ascii="Courier New" w:eastAsia="Times New Roman" w:hAnsi="Courier New" w:cs="Times New Roman"/>
      <w:sz w:val="20"/>
      <w:szCs w:val="20"/>
      <w:lang w:eastAsia="es-ES"/>
    </w:rPr>
  </w:style>
  <w:style w:type="table" w:styleId="Tablaconcuadrcula">
    <w:name w:val="Table Grid"/>
    <w:basedOn w:val="Tablanormal"/>
    <w:uiPriority w:val="59"/>
    <w:rsid w:val="00F74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7777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77F"/>
    <w:rPr>
      <w:sz w:val="20"/>
      <w:szCs w:val="20"/>
    </w:rPr>
  </w:style>
  <w:style w:type="character" w:styleId="Refdenotaalfinal">
    <w:name w:val="endnote reference"/>
    <w:basedOn w:val="Fuentedeprrafopredeter"/>
    <w:uiPriority w:val="99"/>
    <w:semiHidden/>
    <w:unhideWhenUsed/>
    <w:rsid w:val="0057777F"/>
    <w:rPr>
      <w:vertAlign w:val="superscript"/>
    </w:rPr>
  </w:style>
  <w:style w:type="table" w:customStyle="1" w:styleId="Tablaconcuadrcula1">
    <w:name w:val="Tabla con cuadrícula1"/>
    <w:basedOn w:val="Tablanormal"/>
    <w:next w:val="Tablaconcuadrcula"/>
    <w:rsid w:val="008247F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qFormat/>
    <w:rsid w:val="005648C5"/>
    <w:pPr>
      <w:spacing w:before="120" w:after="120"/>
    </w:pPr>
    <w:rPr>
      <w:b/>
      <w:bCs/>
      <w:caps/>
      <w:sz w:val="20"/>
      <w:szCs w:val="20"/>
    </w:rPr>
  </w:style>
  <w:style w:type="paragraph" w:styleId="TDC2">
    <w:name w:val="toc 2"/>
    <w:basedOn w:val="Normal"/>
    <w:next w:val="Normal"/>
    <w:autoRedefine/>
    <w:uiPriority w:val="39"/>
    <w:qFormat/>
    <w:rsid w:val="003B31BC"/>
    <w:pPr>
      <w:spacing w:after="0"/>
      <w:ind w:left="220"/>
    </w:pPr>
    <w:rPr>
      <w:smallCaps/>
      <w:sz w:val="20"/>
      <w:szCs w:val="20"/>
    </w:rPr>
  </w:style>
  <w:style w:type="paragraph" w:styleId="TDC3">
    <w:name w:val="toc 3"/>
    <w:basedOn w:val="Normal"/>
    <w:next w:val="Normal"/>
    <w:autoRedefine/>
    <w:uiPriority w:val="39"/>
    <w:unhideWhenUsed/>
    <w:rsid w:val="00230912"/>
    <w:pPr>
      <w:spacing w:after="0"/>
      <w:ind w:left="440"/>
    </w:pPr>
    <w:rPr>
      <w:i/>
      <w:iCs/>
      <w:sz w:val="20"/>
      <w:szCs w:val="20"/>
    </w:rPr>
  </w:style>
  <w:style w:type="paragraph" w:styleId="TDC4">
    <w:name w:val="toc 4"/>
    <w:basedOn w:val="Normal"/>
    <w:next w:val="Normal"/>
    <w:autoRedefine/>
    <w:uiPriority w:val="39"/>
    <w:unhideWhenUsed/>
    <w:rsid w:val="00230912"/>
    <w:pPr>
      <w:spacing w:after="0"/>
      <w:ind w:left="660"/>
    </w:pPr>
    <w:rPr>
      <w:sz w:val="18"/>
      <w:szCs w:val="18"/>
    </w:rPr>
  </w:style>
  <w:style w:type="paragraph" w:styleId="TDC5">
    <w:name w:val="toc 5"/>
    <w:basedOn w:val="Normal"/>
    <w:next w:val="Normal"/>
    <w:autoRedefine/>
    <w:uiPriority w:val="39"/>
    <w:unhideWhenUsed/>
    <w:rsid w:val="00230912"/>
    <w:pPr>
      <w:spacing w:after="0"/>
      <w:ind w:left="880"/>
    </w:pPr>
    <w:rPr>
      <w:sz w:val="18"/>
      <w:szCs w:val="18"/>
    </w:rPr>
  </w:style>
  <w:style w:type="paragraph" w:styleId="TDC6">
    <w:name w:val="toc 6"/>
    <w:basedOn w:val="Normal"/>
    <w:next w:val="Normal"/>
    <w:autoRedefine/>
    <w:uiPriority w:val="39"/>
    <w:unhideWhenUsed/>
    <w:rsid w:val="00230912"/>
    <w:pPr>
      <w:spacing w:after="0"/>
      <w:ind w:left="1100"/>
    </w:pPr>
    <w:rPr>
      <w:sz w:val="18"/>
      <w:szCs w:val="18"/>
    </w:rPr>
  </w:style>
  <w:style w:type="paragraph" w:styleId="TDC7">
    <w:name w:val="toc 7"/>
    <w:basedOn w:val="Normal"/>
    <w:next w:val="Normal"/>
    <w:autoRedefine/>
    <w:uiPriority w:val="39"/>
    <w:unhideWhenUsed/>
    <w:rsid w:val="00230912"/>
    <w:pPr>
      <w:spacing w:after="0"/>
      <w:ind w:left="1320"/>
    </w:pPr>
    <w:rPr>
      <w:sz w:val="18"/>
      <w:szCs w:val="18"/>
    </w:rPr>
  </w:style>
  <w:style w:type="paragraph" w:styleId="TDC8">
    <w:name w:val="toc 8"/>
    <w:basedOn w:val="Normal"/>
    <w:next w:val="Normal"/>
    <w:autoRedefine/>
    <w:uiPriority w:val="39"/>
    <w:unhideWhenUsed/>
    <w:rsid w:val="00230912"/>
    <w:pPr>
      <w:spacing w:after="0"/>
      <w:ind w:left="1540"/>
    </w:pPr>
    <w:rPr>
      <w:sz w:val="18"/>
      <w:szCs w:val="18"/>
    </w:rPr>
  </w:style>
  <w:style w:type="paragraph" w:styleId="TDC9">
    <w:name w:val="toc 9"/>
    <w:basedOn w:val="Normal"/>
    <w:next w:val="Normal"/>
    <w:autoRedefine/>
    <w:uiPriority w:val="39"/>
    <w:unhideWhenUsed/>
    <w:rsid w:val="00230912"/>
    <w:pPr>
      <w:spacing w:after="0"/>
      <w:ind w:left="1760"/>
    </w:pPr>
    <w:rPr>
      <w:sz w:val="18"/>
      <w:szCs w:val="18"/>
    </w:rPr>
  </w:style>
  <w:style w:type="character" w:customStyle="1" w:styleId="UnresolvedMention">
    <w:name w:val="Unresolved Mention"/>
    <w:basedOn w:val="Fuentedeprrafopredeter"/>
    <w:uiPriority w:val="99"/>
    <w:semiHidden/>
    <w:unhideWhenUsed/>
    <w:rsid w:val="008273C0"/>
    <w:rPr>
      <w:color w:val="808080"/>
      <w:shd w:val="clear" w:color="auto" w:fill="E6E6E6"/>
    </w:rPr>
  </w:style>
  <w:style w:type="paragraph" w:styleId="ndice1">
    <w:name w:val="index 1"/>
    <w:basedOn w:val="Normal"/>
    <w:next w:val="Normal"/>
    <w:autoRedefine/>
    <w:uiPriority w:val="99"/>
    <w:unhideWhenUsed/>
    <w:rsid w:val="00EF2032"/>
    <w:pPr>
      <w:tabs>
        <w:tab w:val="right" w:leader="dot" w:pos="9062"/>
      </w:tabs>
      <w:spacing w:after="0" w:line="240" w:lineRule="auto"/>
      <w:ind w:left="220" w:hanging="220"/>
    </w:pPr>
    <w:rPr>
      <w:rFonts w:ascii="Arial" w:hAnsi="Arial" w:cs="Arial"/>
      <w:b/>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DA"/>
  </w:style>
  <w:style w:type="paragraph" w:styleId="Ttulo1">
    <w:name w:val="heading 1"/>
    <w:basedOn w:val="Normal"/>
    <w:next w:val="Normal"/>
    <w:link w:val="Ttulo1Car"/>
    <w:qFormat/>
    <w:rsid w:val="00A21EFB"/>
    <w:pPr>
      <w:keepNext/>
      <w:spacing w:before="240" w:after="60" w:line="240" w:lineRule="auto"/>
      <w:jc w:val="center"/>
      <w:outlineLvl w:val="0"/>
    </w:pPr>
    <w:rPr>
      <w:rFonts w:ascii="Arial" w:eastAsia="Times New Roman" w:hAnsi="Arial" w:cs="Times New Roman"/>
      <w:b/>
      <w:kern w:val="28"/>
      <w:sz w:val="24"/>
      <w:szCs w:val="20"/>
      <w:lang w:eastAsia="es-ES"/>
    </w:rPr>
  </w:style>
  <w:style w:type="paragraph" w:styleId="Ttulo2">
    <w:name w:val="heading 2"/>
    <w:basedOn w:val="Normal"/>
    <w:next w:val="Normal"/>
    <w:link w:val="Ttulo2Car"/>
    <w:unhideWhenUsed/>
    <w:qFormat/>
    <w:rsid w:val="00F7415C"/>
    <w:pPr>
      <w:keepNext/>
      <w:spacing w:before="240" w:after="60" w:line="240" w:lineRule="auto"/>
      <w:outlineLvl w:val="1"/>
    </w:pPr>
    <w:rPr>
      <w:rFonts w:ascii="Arial" w:eastAsia="Times New Roman" w:hAnsi="Arial" w:cs="Times New Roman"/>
      <w:b/>
      <w:i/>
      <w:sz w:val="24"/>
      <w:szCs w:val="20"/>
      <w:lang w:eastAsia="es-ES"/>
    </w:rPr>
  </w:style>
  <w:style w:type="paragraph" w:styleId="Ttulo3">
    <w:name w:val="heading 3"/>
    <w:basedOn w:val="Normal"/>
    <w:next w:val="Normal"/>
    <w:link w:val="Ttulo3Car"/>
    <w:semiHidden/>
    <w:unhideWhenUsed/>
    <w:qFormat/>
    <w:rsid w:val="00F7415C"/>
    <w:pPr>
      <w:keepNext/>
      <w:spacing w:before="240" w:after="60" w:line="240" w:lineRule="auto"/>
      <w:outlineLvl w:val="2"/>
    </w:pPr>
    <w:rPr>
      <w:rFonts w:ascii="Arial" w:eastAsia="Times New Roman" w:hAnsi="Arial" w:cs="Times New Roman"/>
      <w:sz w:val="24"/>
      <w:szCs w:val="20"/>
      <w:lang w:eastAsia="es-ES"/>
    </w:rPr>
  </w:style>
  <w:style w:type="paragraph" w:styleId="Ttulo4">
    <w:name w:val="heading 4"/>
    <w:basedOn w:val="Normal"/>
    <w:next w:val="Normal"/>
    <w:link w:val="Ttulo4Car"/>
    <w:semiHidden/>
    <w:unhideWhenUsed/>
    <w:qFormat/>
    <w:rsid w:val="00F7415C"/>
    <w:pPr>
      <w:keepNext/>
      <w:spacing w:after="0" w:line="360" w:lineRule="auto"/>
      <w:jc w:val="center"/>
      <w:outlineLvl w:val="3"/>
    </w:pPr>
    <w:rPr>
      <w:rFonts w:ascii="Arial" w:eastAsia="Times New Roman" w:hAnsi="Arial" w:cs="Arial"/>
      <w:sz w:val="28"/>
      <w:szCs w:val="20"/>
      <w:lang w:val="es-ES_tradnl" w:eastAsia="es-ES"/>
    </w:rPr>
  </w:style>
  <w:style w:type="paragraph" w:styleId="Ttulo5">
    <w:name w:val="heading 5"/>
    <w:basedOn w:val="Normal"/>
    <w:next w:val="Normal"/>
    <w:link w:val="Ttulo5Car"/>
    <w:semiHidden/>
    <w:unhideWhenUsed/>
    <w:qFormat/>
    <w:rsid w:val="00F7415C"/>
    <w:pPr>
      <w:keepNext/>
      <w:widowControl w:val="0"/>
      <w:autoSpaceDE w:val="0"/>
      <w:autoSpaceDN w:val="0"/>
      <w:adjustRightInd w:val="0"/>
      <w:spacing w:after="0" w:line="360" w:lineRule="auto"/>
      <w:ind w:firstLine="720"/>
      <w:jc w:val="both"/>
      <w:outlineLvl w:val="4"/>
    </w:pPr>
    <w:rPr>
      <w:rFonts w:ascii="Times New Roman" w:eastAsia="Times New Roman" w:hAnsi="Times New Roman" w:cs="Times New Roman"/>
      <w:b/>
      <w:sz w:val="24"/>
      <w:szCs w:val="24"/>
      <w:lang w:val="es-ES_tradnl" w:eastAsia="es-ES"/>
    </w:rPr>
  </w:style>
  <w:style w:type="paragraph" w:styleId="Ttulo6">
    <w:name w:val="heading 6"/>
    <w:basedOn w:val="Normal"/>
    <w:next w:val="Normal"/>
    <w:link w:val="Ttulo6Car"/>
    <w:semiHidden/>
    <w:unhideWhenUsed/>
    <w:qFormat/>
    <w:rsid w:val="00F7415C"/>
    <w:pPr>
      <w:keepNext/>
      <w:spacing w:after="0" w:line="240" w:lineRule="auto"/>
      <w:jc w:val="both"/>
      <w:outlineLvl w:val="5"/>
    </w:pPr>
    <w:rPr>
      <w:rFonts w:ascii="Arial" w:eastAsia="Times New Roman" w:hAnsi="Arial" w:cs="Times New Roman"/>
      <w:b/>
      <w:sz w:val="24"/>
      <w:szCs w:val="20"/>
      <w:lang w:eastAsia="es-ES"/>
    </w:rPr>
  </w:style>
  <w:style w:type="paragraph" w:styleId="Ttulo7">
    <w:name w:val="heading 7"/>
    <w:basedOn w:val="Normal"/>
    <w:next w:val="Normal"/>
    <w:link w:val="Ttulo7Car"/>
    <w:semiHidden/>
    <w:unhideWhenUsed/>
    <w:qFormat/>
    <w:rsid w:val="00F7415C"/>
    <w:pPr>
      <w:keepNext/>
      <w:spacing w:after="0" w:line="240" w:lineRule="auto"/>
      <w:ind w:left="2832" w:firstLine="708"/>
      <w:jc w:val="both"/>
      <w:outlineLvl w:val="6"/>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1EFB"/>
    <w:rPr>
      <w:rFonts w:ascii="Arial" w:eastAsia="Times New Roman" w:hAnsi="Arial" w:cs="Times New Roman"/>
      <w:b/>
      <w:kern w:val="28"/>
      <w:sz w:val="24"/>
      <w:szCs w:val="20"/>
      <w:lang w:eastAsia="es-ES"/>
    </w:rPr>
  </w:style>
  <w:style w:type="character" w:customStyle="1" w:styleId="Ttulo2Car">
    <w:name w:val="Título 2 Car"/>
    <w:basedOn w:val="Fuentedeprrafopredeter"/>
    <w:link w:val="Ttulo2"/>
    <w:rsid w:val="00F7415C"/>
    <w:rPr>
      <w:rFonts w:ascii="Arial" w:eastAsia="Times New Roman" w:hAnsi="Arial" w:cs="Times New Roman"/>
      <w:b/>
      <w:i/>
      <w:sz w:val="24"/>
      <w:szCs w:val="20"/>
      <w:lang w:eastAsia="es-ES"/>
    </w:rPr>
  </w:style>
  <w:style w:type="character" w:customStyle="1" w:styleId="Ttulo3Car">
    <w:name w:val="Título 3 Car"/>
    <w:basedOn w:val="Fuentedeprrafopredeter"/>
    <w:link w:val="Ttulo3"/>
    <w:semiHidden/>
    <w:rsid w:val="00F7415C"/>
    <w:rPr>
      <w:rFonts w:ascii="Arial" w:eastAsia="Times New Roman" w:hAnsi="Arial" w:cs="Times New Roman"/>
      <w:sz w:val="24"/>
      <w:szCs w:val="20"/>
      <w:lang w:eastAsia="es-ES"/>
    </w:rPr>
  </w:style>
  <w:style w:type="character" w:customStyle="1" w:styleId="Ttulo4Car">
    <w:name w:val="Título 4 Car"/>
    <w:basedOn w:val="Fuentedeprrafopredeter"/>
    <w:link w:val="Ttulo4"/>
    <w:semiHidden/>
    <w:rsid w:val="00F7415C"/>
    <w:rPr>
      <w:rFonts w:ascii="Arial" w:eastAsia="Times New Roman" w:hAnsi="Arial" w:cs="Arial"/>
      <w:sz w:val="28"/>
      <w:szCs w:val="20"/>
      <w:lang w:val="es-ES_tradnl" w:eastAsia="es-ES"/>
    </w:rPr>
  </w:style>
  <w:style w:type="character" w:customStyle="1" w:styleId="Ttulo5Car">
    <w:name w:val="Título 5 Car"/>
    <w:basedOn w:val="Fuentedeprrafopredeter"/>
    <w:link w:val="Ttulo5"/>
    <w:semiHidden/>
    <w:rsid w:val="00F7415C"/>
    <w:rPr>
      <w:rFonts w:ascii="Times New Roman" w:eastAsia="Times New Roman" w:hAnsi="Times New Roman" w:cs="Times New Roman"/>
      <w:b/>
      <w:sz w:val="24"/>
      <w:szCs w:val="24"/>
      <w:lang w:val="es-ES_tradnl" w:eastAsia="es-ES"/>
    </w:rPr>
  </w:style>
  <w:style w:type="character" w:customStyle="1" w:styleId="Ttulo6Car">
    <w:name w:val="Título 6 Car"/>
    <w:basedOn w:val="Fuentedeprrafopredeter"/>
    <w:link w:val="Ttulo6"/>
    <w:semiHidden/>
    <w:rsid w:val="00F7415C"/>
    <w:rPr>
      <w:rFonts w:ascii="Arial" w:eastAsia="Times New Roman" w:hAnsi="Arial" w:cs="Times New Roman"/>
      <w:b/>
      <w:sz w:val="24"/>
      <w:szCs w:val="20"/>
      <w:lang w:eastAsia="es-ES"/>
    </w:rPr>
  </w:style>
  <w:style w:type="character" w:customStyle="1" w:styleId="Ttulo7Car">
    <w:name w:val="Título 7 Car"/>
    <w:basedOn w:val="Fuentedeprrafopredeter"/>
    <w:link w:val="Ttulo7"/>
    <w:semiHidden/>
    <w:rsid w:val="00F7415C"/>
    <w:rPr>
      <w:rFonts w:ascii="Arial" w:eastAsia="Times New Roman" w:hAnsi="Arial" w:cs="Times New Roman"/>
      <w:b/>
      <w:sz w:val="24"/>
      <w:szCs w:val="20"/>
      <w:lang w:eastAsia="es-ES"/>
    </w:rPr>
  </w:style>
  <w:style w:type="character" w:styleId="Hipervnculo">
    <w:name w:val="Hyperlink"/>
    <w:uiPriority w:val="99"/>
    <w:unhideWhenUsed/>
    <w:rsid w:val="00F7415C"/>
    <w:rPr>
      <w:color w:val="0000FF"/>
      <w:u w:val="single"/>
    </w:rPr>
  </w:style>
  <w:style w:type="character" w:styleId="Hipervnculovisitado">
    <w:name w:val="FollowedHyperlink"/>
    <w:semiHidden/>
    <w:unhideWhenUsed/>
    <w:rsid w:val="00F7415C"/>
    <w:rPr>
      <w:color w:val="800080"/>
      <w:u w:val="single"/>
    </w:rPr>
  </w:style>
  <w:style w:type="character" w:styleId="nfasis">
    <w:name w:val="Emphasis"/>
    <w:qFormat/>
    <w:rsid w:val="00F7415C"/>
    <w:rPr>
      <w:i/>
      <w:iCs w:val="0"/>
    </w:rPr>
  </w:style>
  <w:style w:type="character" w:styleId="Textoennegrita">
    <w:name w:val="Strong"/>
    <w:qFormat/>
    <w:rsid w:val="00F7415C"/>
    <w:rPr>
      <w:b/>
      <w:bCs w:val="0"/>
    </w:rPr>
  </w:style>
  <w:style w:type="paragraph" w:styleId="NormalWeb">
    <w:name w:val="Normal (Web)"/>
    <w:basedOn w:val="Normal"/>
    <w:semiHidden/>
    <w:unhideWhenUsed/>
    <w:rsid w:val="00F7415C"/>
    <w:pPr>
      <w:spacing w:before="100" w:after="100" w:line="240" w:lineRule="auto"/>
    </w:pPr>
    <w:rPr>
      <w:rFonts w:ascii="Times New Roman" w:eastAsia="Times New Roman" w:hAnsi="Times New Roman" w:cs="Times New Roman"/>
      <w:sz w:val="24"/>
      <w:szCs w:val="20"/>
      <w:lang w:eastAsia="es-ES"/>
    </w:rPr>
  </w:style>
  <w:style w:type="character" w:customStyle="1" w:styleId="TextonotapieCar">
    <w:name w:val="Texto nota pie Car"/>
    <w:aliases w:val="Footnote TextCSR Car"/>
    <w:basedOn w:val="Fuentedeprrafopredeter"/>
    <w:link w:val="Textonotapie"/>
    <w:uiPriority w:val="99"/>
    <w:semiHidden/>
    <w:locked/>
    <w:rsid w:val="00F7415C"/>
    <w:rPr>
      <w:rFonts w:ascii="Times New Roman" w:eastAsia="Times New Roman" w:hAnsi="Times New Roman" w:cs="Times New Roman"/>
      <w:sz w:val="20"/>
      <w:szCs w:val="20"/>
      <w:lang w:eastAsia="es-ES"/>
    </w:rPr>
  </w:style>
  <w:style w:type="paragraph" w:styleId="Textonotapie">
    <w:name w:val="footnote text"/>
    <w:aliases w:val="Footnote TextCSR"/>
    <w:basedOn w:val="Normal"/>
    <w:link w:val="TextonotapieCar"/>
    <w:uiPriority w:val="99"/>
    <w:semiHidden/>
    <w:unhideWhenUsed/>
    <w:rsid w:val="00F7415C"/>
    <w:pPr>
      <w:spacing w:after="0" w:line="240" w:lineRule="auto"/>
    </w:pPr>
    <w:rPr>
      <w:rFonts w:ascii="Times New Roman" w:eastAsia="Times New Roman" w:hAnsi="Times New Roman" w:cs="Times New Roman"/>
      <w:sz w:val="20"/>
      <w:szCs w:val="20"/>
      <w:lang w:eastAsia="es-ES"/>
    </w:rPr>
  </w:style>
  <w:style w:type="character" w:customStyle="1" w:styleId="TextonotapieCar1">
    <w:name w:val="Texto nota pie Car1"/>
    <w:aliases w:val="Footnote TextCSR Car1"/>
    <w:basedOn w:val="Fuentedeprrafopredeter"/>
    <w:uiPriority w:val="99"/>
    <w:semiHidden/>
    <w:rsid w:val="00F7415C"/>
    <w:rPr>
      <w:sz w:val="20"/>
      <w:szCs w:val="20"/>
    </w:rPr>
  </w:style>
  <w:style w:type="paragraph" w:styleId="Textocomentario">
    <w:name w:val="annotation text"/>
    <w:basedOn w:val="Normal"/>
    <w:link w:val="TextocomentarioCar"/>
    <w:semiHidden/>
    <w:unhideWhenUsed/>
    <w:rsid w:val="00F7415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F7415C"/>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F7415C"/>
    <w:pPr>
      <w:tabs>
        <w:tab w:val="center" w:pos="4252"/>
        <w:tab w:val="right" w:pos="8504"/>
      </w:tabs>
      <w:spacing w:after="0" w:line="240" w:lineRule="auto"/>
    </w:pPr>
    <w:rPr>
      <w:rFonts w:ascii="Arial" w:eastAsia="Times New Roman" w:hAnsi="Arial" w:cs="Times New Roman"/>
      <w:sz w:val="24"/>
      <w:szCs w:val="20"/>
      <w:lang w:eastAsia="es-ES"/>
    </w:rPr>
  </w:style>
  <w:style w:type="character" w:customStyle="1" w:styleId="EncabezadoCar">
    <w:name w:val="Encabezado Car"/>
    <w:basedOn w:val="Fuentedeprrafopredeter"/>
    <w:link w:val="Encabezado"/>
    <w:rsid w:val="00F7415C"/>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F7415C"/>
    <w:pPr>
      <w:tabs>
        <w:tab w:val="center" w:pos="4252"/>
        <w:tab w:val="right" w:pos="8504"/>
      </w:tabs>
      <w:spacing w:after="0" w:line="240" w:lineRule="auto"/>
    </w:pPr>
    <w:rPr>
      <w:rFonts w:ascii="Arial" w:eastAsia="Times New Roman" w:hAnsi="Arial" w:cs="Times New Roman"/>
      <w:sz w:val="24"/>
      <w:szCs w:val="20"/>
      <w:lang w:eastAsia="es-ES"/>
    </w:rPr>
  </w:style>
  <w:style w:type="character" w:customStyle="1" w:styleId="PiedepginaCar">
    <w:name w:val="Pie de página Car"/>
    <w:basedOn w:val="Fuentedeprrafopredeter"/>
    <w:link w:val="Piedepgina"/>
    <w:uiPriority w:val="99"/>
    <w:rsid w:val="00F7415C"/>
    <w:rPr>
      <w:rFonts w:ascii="Arial" w:eastAsia="Times New Roman" w:hAnsi="Arial" w:cs="Times New Roman"/>
      <w:sz w:val="24"/>
      <w:szCs w:val="20"/>
      <w:lang w:eastAsia="es-ES"/>
    </w:rPr>
  </w:style>
  <w:style w:type="paragraph" w:styleId="Ttulo">
    <w:name w:val="Title"/>
    <w:basedOn w:val="Normal"/>
    <w:link w:val="TtuloCar"/>
    <w:qFormat/>
    <w:rsid w:val="00F7415C"/>
    <w:pPr>
      <w:spacing w:after="0" w:line="240" w:lineRule="auto"/>
      <w:jc w:val="center"/>
    </w:pPr>
    <w:rPr>
      <w:rFonts w:ascii="Times New Roman" w:eastAsia="Times New Roman" w:hAnsi="Times New Roman" w:cs="Times New Roman"/>
      <w:b/>
      <w:sz w:val="24"/>
      <w:szCs w:val="20"/>
      <w:lang w:eastAsia="es-ES"/>
    </w:rPr>
  </w:style>
  <w:style w:type="character" w:customStyle="1" w:styleId="TtuloCar">
    <w:name w:val="Título Car"/>
    <w:basedOn w:val="Fuentedeprrafopredeter"/>
    <w:link w:val="Ttulo"/>
    <w:rsid w:val="00F7415C"/>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semiHidden/>
    <w:unhideWhenUsed/>
    <w:rsid w:val="00F7415C"/>
    <w:pPr>
      <w:suppressAutoHyphens/>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semiHidden/>
    <w:rsid w:val="00F7415C"/>
    <w:rPr>
      <w:rFonts w:ascii="Arial" w:eastAsia="Times New Roman" w:hAnsi="Arial" w:cs="Arial"/>
      <w:sz w:val="24"/>
      <w:szCs w:val="24"/>
      <w:lang w:eastAsia="es-ES"/>
    </w:rPr>
  </w:style>
  <w:style w:type="paragraph" w:styleId="Sangradetextonormal">
    <w:name w:val="Body Text Indent"/>
    <w:basedOn w:val="Normal"/>
    <w:link w:val="SangradetextonormalCar"/>
    <w:semiHidden/>
    <w:unhideWhenUsed/>
    <w:rsid w:val="00F7415C"/>
    <w:pPr>
      <w:spacing w:after="0" w:line="360" w:lineRule="auto"/>
      <w:ind w:firstLine="709"/>
      <w:jc w:val="both"/>
    </w:pPr>
    <w:rPr>
      <w:rFonts w:ascii="Arial" w:eastAsia="Times New Roman" w:hAnsi="Arial" w:cs="Times New Roman"/>
      <w:sz w:val="24"/>
      <w:szCs w:val="20"/>
      <w:lang w:eastAsia="es-ES"/>
    </w:rPr>
  </w:style>
  <w:style w:type="character" w:customStyle="1" w:styleId="SangradetextonormalCar">
    <w:name w:val="Sangría de texto normal Car"/>
    <w:basedOn w:val="Fuentedeprrafopredeter"/>
    <w:link w:val="Sangradetextonormal"/>
    <w:semiHidden/>
    <w:rsid w:val="00F7415C"/>
    <w:rPr>
      <w:rFonts w:ascii="Arial" w:eastAsia="Times New Roman" w:hAnsi="Arial" w:cs="Times New Roman"/>
      <w:sz w:val="24"/>
      <w:szCs w:val="20"/>
      <w:lang w:eastAsia="es-ES"/>
    </w:rPr>
  </w:style>
  <w:style w:type="paragraph" w:styleId="Textoindependiente2">
    <w:name w:val="Body Text 2"/>
    <w:basedOn w:val="Normal"/>
    <w:link w:val="Textoindependiente2Car"/>
    <w:semiHidden/>
    <w:unhideWhenUsed/>
    <w:rsid w:val="00F7415C"/>
    <w:pPr>
      <w:suppressAutoHyphens/>
      <w:spacing w:after="0" w:line="240" w:lineRule="auto"/>
      <w:jc w:val="both"/>
    </w:pPr>
    <w:rPr>
      <w:rFonts w:ascii="Arial" w:eastAsia="Times New Roman" w:hAnsi="Arial" w:cs="Arial"/>
      <w:b/>
      <w:bCs/>
      <w:sz w:val="24"/>
      <w:szCs w:val="20"/>
      <w:lang w:eastAsia="es-ES"/>
    </w:rPr>
  </w:style>
  <w:style w:type="character" w:customStyle="1" w:styleId="Textoindependiente2Car">
    <w:name w:val="Texto independiente 2 Car"/>
    <w:basedOn w:val="Fuentedeprrafopredeter"/>
    <w:link w:val="Textoindependiente2"/>
    <w:semiHidden/>
    <w:rsid w:val="00F7415C"/>
    <w:rPr>
      <w:rFonts w:ascii="Arial" w:eastAsia="Times New Roman" w:hAnsi="Arial" w:cs="Arial"/>
      <w:b/>
      <w:bCs/>
      <w:sz w:val="24"/>
      <w:szCs w:val="20"/>
      <w:lang w:eastAsia="es-ES"/>
    </w:rPr>
  </w:style>
  <w:style w:type="paragraph" w:styleId="Textoindependiente3">
    <w:name w:val="Body Text 3"/>
    <w:basedOn w:val="Normal"/>
    <w:link w:val="Textoindependiente3Car"/>
    <w:semiHidden/>
    <w:unhideWhenUsed/>
    <w:rsid w:val="00F7415C"/>
    <w:pPr>
      <w:spacing w:after="0" w:line="360" w:lineRule="auto"/>
      <w:jc w:val="both"/>
    </w:pPr>
    <w:rPr>
      <w:rFonts w:ascii="Arial" w:eastAsia="Times New Roman" w:hAnsi="Arial" w:cs="Arial"/>
      <w:sz w:val="24"/>
      <w:szCs w:val="20"/>
      <w:lang w:val="es-ES_tradnl" w:eastAsia="es-ES"/>
    </w:rPr>
  </w:style>
  <w:style w:type="character" w:customStyle="1" w:styleId="Textoindependiente3Car">
    <w:name w:val="Texto independiente 3 Car"/>
    <w:basedOn w:val="Fuentedeprrafopredeter"/>
    <w:link w:val="Textoindependiente3"/>
    <w:semiHidden/>
    <w:rsid w:val="00F7415C"/>
    <w:rPr>
      <w:rFonts w:ascii="Arial" w:eastAsia="Times New Roman" w:hAnsi="Arial" w:cs="Arial"/>
      <w:sz w:val="24"/>
      <w:szCs w:val="20"/>
      <w:lang w:val="es-ES_tradnl" w:eastAsia="es-ES"/>
    </w:rPr>
  </w:style>
  <w:style w:type="paragraph" w:styleId="Sangra2detindependiente">
    <w:name w:val="Body Text Indent 2"/>
    <w:basedOn w:val="Normal"/>
    <w:link w:val="Sangra2detindependienteCar"/>
    <w:semiHidden/>
    <w:unhideWhenUsed/>
    <w:rsid w:val="00F7415C"/>
    <w:pPr>
      <w:spacing w:after="0" w:line="360" w:lineRule="auto"/>
      <w:ind w:firstLine="708"/>
      <w:jc w:val="both"/>
    </w:pPr>
    <w:rPr>
      <w:rFonts w:ascii="Arial" w:eastAsia="Times New Roman" w:hAnsi="Arial" w:cs="Arial"/>
      <w:sz w:val="24"/>
      <w:szCs w:val="24"/>
      <w:lang w:eastAsia="es-ES"/>
    </w:rPr>
  </w:style>
  <w:style w:type="character" w:customStyle="1" w:styleId="Sangra2detindependienteCar">
    <w:name w:val="Sangría 2 de t. independiente Car"/>
    <w:basedOn w:val="Fuentedeprrafopredeter"/>
    <w:link w:val="Sangra2detindependiente"/>
    <w:semiHidden/>
    <w:rsid w:val="00F7415C"/>
    <w:rPr>
      <w:rFonts w:ascii="Arial" w:eastAsia="Times New Roman" w:hAnsi="Arial" w:cs="Arial"/>
      <w:sz w:val="24"/>
      <w:szCs w:val="24"/>
      <w:lang w:eastAsia="es-ES"/>
    </w:rPr>
  </w:style>
  <w:style w:type="paragraph" w:styleId="Sangra3detindependiente">
    <w:name w:val="Body Text Indent 3"/>
    <w:basedOn w:val="Normal"/>
    <w:link w:val="Sangra3detindependienteCar"/>
    <w:semiHidden/>
    <w:unhideWhenUsed/>
    <w:rsid w:val="00F7415C"/>
    <w:pPr>
      <w:spacing w:before="120" w:after="120" w:line="360" w:lineRule="auto"/>
      <w:ind w:firstLine="1134"/>
      <w:jc w:val="both"/>
    </w:pPr>
    <w:rPr>
      <w:rFonts w:ascii="Arial" w:eastAsia="Times New Roman" w:hAnsi="Arial" w:cs="Times New Roman"/>
      <w:sz w:val="24"/>
      <w:szCs w:val="20"/>
      <w:lang w:eastAsia="es-ES"/>
    </w:rPr>
  </w:style>
  <w:style w:type="character" w:customStyle="1" w:styleId="Sangra3detindependienteCar">
    <w:name w:val="Sangría 3 de t. independiente Car"/>
    <w:basedOn w:val="Fuentedeprrafopredeter"/>
    <w:link w:val="Sangra3detindependiente"/>
    <w:semiHidden/>
    <w:rsid w:val="00F7415C"/>
    <w:rPr>
      <w:rFonts w:ascii="Arial" w:eastAsia="Times New Roman" w:hAnsi="Arial" w:cs="Times New Roman"/>
      <w:sz w:val="24"/>
      <w:szCs w:val="20"/>
      <w:lang w:eastAsia="es-ES"/>
    </w:rPr>
  </w:style>
  <w:style w:type="paragraph" w:styleId="Textodebloque">
    <w:name w:val="Block Text"/>
    <w:basedOn w:val="Normal"/>
    <w:semiHidden/>
    <w:unhideWhenUsed/>
    <w:rsid w:val="00F7415C"/>
    <w:pPr>
      <w:snapToGrid w:val="0"/>
      <w:spacing w:after="0" w:line="240" w:lineRule="auto"/>
      <w:ind w:left="195" w:right="195" w:firstLine="513"/>
      <w:jc w:val="both"/>
    </w:pPr>
    <w:rPr>
      <w:rFonts w:ascii="Times New Roman" w:eastAsia="Times New Roman" w:hAnsi="Times New Roman" w:cs="Times New Roman"/>
      <w:sz w:val="24"/>
      <w:szCs w:val="20"/>
      <w:lang w:eastAsia="es-ES"/>
    </w:rPr>
  </w:style>
  <w:style w:type="paragraph" w:styleId="Mapadeldocumento">
    <w:name w:val="Document Map"/>
    <w:basedOn w:val="Normal"/>
    <w:link w:val="MapadeldocumentoCar"/>
    <w:semiHidden/>
    <w:unhideWhenUsed/>
    <w:rsid w:val="00F7415C"/>
    <w:pPr>
      <w:shd w:val="clear" w:color="auto" w:fill="000080"/>
      <w:spacing w:after="0" w:line="240" w:lineRule="auto"/>
    </w:pPr>
    <w:rPr>
      <w:rFonts w:ascii="Tahoma" w:eastAsia="Times New Roman" w:hAnsi="Tahoma" w:cs="Times New Roman"/>
      <w:sz w:val="24"/>
      <w:szCs w:val="20"/>
      <w:lang w:eastAsia="es-ES"/>
    </w:rPr>
  </w:style>
  <w:style w:type="character" w:customStyle="1" w:styleId="MapadeldocumentoCar">
    <w:name w:val="Mapa del documento Car"/>
    <w:basedOn w:val="Fuentedeprrafopredeter"/>
    <w:link w:val="Mapadeldocumento"/>
    <w:semiHidden/>
    <w:rsid w:val="00F7415C"/>
    <w:rPr>
      <w:rFonts w:ascii="Tahoma" w:eastAsia="Times New Roman" w:hAnsi="Tahoma" w:cs="Times New Roman"/>
      <w:sz w:val="24"/>
      <w:szCs w:val="20"/>
      <w:shd w:val="clear" w:color="auto" w:fill="000080"/>
      <w:lang w:eastAsia="es-ES"/>
    </w:rPr>
  </w:style>
  <w:style w:type="paragraph" w:styleId="Textosinformato">
    <w:name w:val="Plain Text"/>
    <w:basedOn w:val="Normal"/>
    <w:link w:val="TextosinformatoCar1"/>
    <w:semiHidden/>
    <w:unhideWhenUsed/>
    <w:rsid w:val="00F7415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semiHidden/>
    <w:rsid w:val="00F7415C"/>
    <w:rPr>
      <w:rFonts w:ascii="Consolas" w:hAnsi="Consolas" w:cs="Consolas"/>
      <w:sz w:val="21"/>
      <w:szCs w:val="21"/>
    </w:rPr>
  </w:style>
  <w:style w:type="paragraph" w:styleId="Asuntodelcomentario">
    <w:name w:val="annotation subject"/>
    <w:basedOn w:val="Textocomentario"/>
    <w:next w:val="Textocomentario"/>
    <w:link w:val="AsuntodelcomentarioCar"/>
    <w:semiHidden/>
    <w:unhideWhenUsed/>
    <w:rsid w:val="00F7415C"/>
    <w:rPr>
      <w:rFonts w:ascii="Arial" w:hAnsi="Arial"/>
      <w:b/>
      <w:bCs/>
    </w:rPr>
  </w:style>
  <w:style w:type="character" w:customStyle="1" w:styleId="AsuntodelcomentarioCar">
    <w:name w:val="Asunto del comentario Car"/>
    <w:basedOn w:val="TextocomentarioCar"/>
    <w:link w:val="Asuntodelcomentario"/>
    <w:semiHidden/>
    <w:rsid w:val="00F7415C"/>
    <w:rPr>
      <w:rFonts w:ascii="Arial" w:eastAsia="Times New Roman" w:hAnsi="Arial" w:cs="Times New Roman"/>
      <w:b/>
      <w:bCs/>
      <w:sz w:val="20"/>
      <w:szCs w:val="20"/>
      <w:lang w:eastAsia="es-ES"/>
    </w:rPr>
  </w:style>
  <w:style w:type="paragraph" w:styleId="Textodeglobo">
    <w:name w:val="Balloon Text"/>
    <w:basedOn w:val="Normal"/>
    <w:link w:val="TextodegloboCar"/>
    <w:semiHidden/>
    <w:unhideWhenUsed/>
    <w:rsid w:val="00F7415C"/>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F7415C"/>
    <w:rPr>
      <w:rFonts w:ascii="Tahoma" w:eastAsia="Times New Roman" w:hAnsi="Tahoma" w:cs="Tahoma"/>
      <w:sz w:val="16"/>
      <w:szCs w:val="16"/>
      <w:lang w:eastAsia="es-ES"/>
    </w:rPr>
  </w:style>
  <w:style w:type="paragraph" w:styleId="Revisin">
    <w:name w:val="Revision"/>
    <w:uiPriority w:val="99"/>
    <w:semiHidden/>
    <w:rsid w:val="00F7415C"/>
    <w:pPr>
      <w:spacing w:after="0" w:line="240" w:lineRule="auto"/>
    </w:pPr>
    <w:rPr>
      <w:rFonts w:ascii="Arial" w:eastAsia="Times New Roman" w:hAnsi="Arial" w:cs="Times New Roman"/>
      <w:sz w:val="24"/>
      <w:szCs w:val="20"/>
      <w:lang w:eastAsia="es-ES"/>
    </w:rPr>
  </w:style>
  <w:style w:type="paragraph" w:styleId="Prrafodelista">
    <w:name w:val="List Paragraph"/>
    <w:basedOn w:val="Normal"/>
    <w:uiPriority w:val="34"/>
    <w:qFormat/>
    <w:rsid w:val="00F7415C"/>
    <w:pPr>
      <w:spacing w:after="0" w:line="240" w:lineRule="auto"/>
      <w:ind w:left="708"/>
    </w:pPr>
    <w:rPr>
      <w:rFonts w:ascii="Arial" w:eastAsia="Times New Roman" w:hAnsi="Arial" w:cs="Times New Roman"/>
      <w:sz w:val="24"/>
      <w:szCs w:val="20"/>
      <w:lang w:eastAsia="es-ES"/>
    </w:rPr>
  </w:style>
  <w:style w:type="paragraph" w:customStyle="1" w:styleId="Pa10">
    <w:name w:val="Pa10"/>
    <w:basedOn w:val="Normal"/>
    <w:next w:val="Normal"/>
    <w:semiHidden/>
    <w:rsid w:val="00F7415C"/>
    <w:pPr>
      <w:snapToGrid w:val="0"/>
      <w:spacing w:after="0" w:line="201" w:lineRule="atLeast"/>
    </w:pPr>
    <w:rPr>
      <w:rFonts w:ascii="Arial" w:eastAsia="Times New Roman" w:hAnsi="Arial" w:cs="Times New Roman"/>
      <w:sz w:val="24"/>
      <w:szCs w:val="20"/>
      <w:lang w:eastAsia="es-ES"/>
    </w:rPr>
  </w:style>
  <w:style w:type="paragraph" w:customStyle="1" w:styleId="H4">
    <w:name w:val="H4"/>
    <w:basedOn w:val="Normal"/>
    <w:next w:val="Normal"/>
    <w:semiHidden/>
    <w:rsid w:val="00F7415C"/>
    <w:pPr>
      <w:keepNext/>
      <w:snapToGrid w:val="0"/>
      <w:spacing w:before="100" w:after="100" w:line="240" w:lineRule="auto"/>
      <w:outlineLvl w:val="4"/>
    </w:pPr>
    <w:rPr>
      <w:rFonts w:ascii="Times New Roman" w:eastAsia="Times New Roman" w:hAnsi="Times New Roman" w:cs="Times New Roman"/>
      <w:b/>
      <w:sz w:val="24"/>
      <w:szCs w:val="20"/>
      <w:lang w:eastAsia="es-ES"/>
    </w:rPr>
  </w:style>
  <w:style w:type="paragraph" w:customStyle="1" w:styleId="H3">
    <w:name w:val="H3"/>
    <w:basedOn w:val="Normal"/>
    <w:next w:val="Normal"/>
    <w:semiHidden/>
    <w:rsid w:val="00F7415C"/>
    <w:pPr>
      <w:keepNext/>
      <w:snapToGrid w:val="0"/>
      <w:spacing w:before="100" w:after="100" w:line="240" w:lineRule="auto"/>
      <w:outlineLvl w:val="3"/>
    </w:pPr>
    <w:rPr>
      <w:rFonts w:ascii="Times New Roman" w:eastAsia="Times New Roman" w:hAnsi="Times New Roman" w:cs="Times New Roman"/>
      <w:b/>
      <w:sz w:val="28"/>
      <w:szCs w:val="20"/>
      <w:lang w:eastAsia="es-ES"/>
    </w:rPr>
  </w:style>
  <w:style w:type="paragraph" w:customStyle="1" w:styleId="Default">
    <w:name w:val="Default"/>
    <w:semiHidden/>
    <w:rsid w:val="00F7415C"/>
    <w:pPr>
      <w:snapToGrid w:val="0"/>
      <w:spacing w:after="0" w:line="240" w:lineRule="auto"/>
    </w:pPr>
    <w:rPr>
      <w:rFonts w:ascii="Verdana" w:eastAsia="Times New Roman" w:hAnsi="Verdana" w:cs="Times New Roman"/>
      <w:color w:val="000000"/>
      <w:sz w:val="24"/>
      <w:szCs w:val="20"/>
      <w:lang w:eastAsia="es-ES"/>
    </w:rPr>
  </w:style>
  <w:style w:type="paragraph" w:customStyle="1" w:styleId="Textoindependiente21">
    <w:name w:val="Texto independiente 21"/>
    <w:basedOn w:val="Normal"/>
    <w:semiHidden/>
    <w:rsid w:val="00F7415C"/>
    <w:pPr>
      <w:overflowPunct w:val="0"/>
      <w:autoSpaceDE w:val="0"/>
      <w:autoSpaceDN w:val="0"/>
      <w:adjustRightInd w:val="0"/>
      <w:spacing w:after="0" w:line="240" w:lineRule="auto"/>
      <w:ind w:right="-1"/>
      <w:jc w:val="both"/>
    </w:pPr>
    <w:rPr>
      <w:rFonts w:ascii="Arial" w:eastAsia="Times New Roman" w:hAnsi="Arial" w:cs="Times New Roman"/>
      <w:sz w:val="24"/>
      <w:szCs w:val="20"/>
      <w:lang w:val="es-ES_tradnl" w:eastAsia="zh-CN"/>
    </w:rPr>
  </w:style>
  <w:style w:type="paragraph" w:customStyle="1" w:styleId="Left">
    <w:name w:val="Left"/>
    <w:semiHidden/>
    <w:rsid w:val="00F7415C"/>
    <w:pPr>
      <w:widowControl w:val="0"/>
      <w:snapToGrid w:val="0"/>
      <w:spacing w:after="0" w:line="240" w:lineRule="auto"/>
    </w:pPr>
    <w:rPr>
      <w:rFonts w:ascii="Times New Roman" w:eastAsia="Times New Roman" w:hAnsi="Times New Roman" w:cs="Times New Roman"/>
      <w:sz w:val="24"/>
      <w:szCs w:val="20"/>
      <w:lang w:eastAsia="es-ES"/>
    </w:rPr>
  </w:style>
  <w:style w:type="paragraph" w:customStyle="1" w:styleId="Textode">
    <w:name w:val="Texto de"/>
    <w:basedOn w:val="Normal"/>
    <w:semiHidden/>
    <w:rsid w:val="00F7415C"/>
    <w:pPr>
      <w:suppressAutoHyphens/>
      <w:spacing w:after="0" w:line="240" w:lineRule="auto"/>
      <w:jc w:val="center"/>
    </w:pPr>
    <w:rPr>
      <w:rFonts w:ascii="Comic Sans MS" w:eastAsia="Calibri" w:hAnsi="Comic Sans MS" w:cs="Times New Roman"/>
      <w:b/>
      <w:sz w:val="28"/>
      <w:szCs w:val="20"/>
      <w:lang w:val="es-MX" w:eastAsia="es-ES"/>
    </w:rPr>
  </w:style>
  <w:style w:type="paragraph" w:customStyle="1" w:styleId="a">
    <w:name w:val="a"/>
    <w:basedOn w:val="Normal"/>
    <w:semiHidden/>
    <w:rsid w:val="00F741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nt"/>
    <w:uiPriority w:val="99"/>
    <w:semiHidden/>
    <w:unhideWhenUsed/>
    <w:rsid w:val="00F7415C"/>
    <w:rPr>
      <w:vertAlign w:val="superscript"/>
    </w:rPr>
  </w:style>
  <w:style w:type="character" w:styleId="Refdecomentario">
    <w:name w:val="annotation reference"/>
    <w:semiHidden/>
    <w:unhideWhenUsed/>
    <w:rsid w:val="00F7415C"/>
    <w:rPr>
      <w:sz w:val="16"/>
    </w:rPr>
  </w:style>
  <w:style w:type="character" w:customStyle="1" w:styleId="CITE">
    <w:name w:val="CITE"/>
    <w:rsid w:val="00F7415C"/>
    <w:rPr>
      <w:i/>
      <w:iCs w:val="0"/>
    </w:rPr>
  </w:style>
  <w:style w:type="character" w:customStyle="1" w:styleId="TextosinformatoCar1">
    <w:name w:val="Texto sin formato Car1"/>
    <w:link w:val="Textosinformato"/>
    <w:semiHidden/>
    <w:locked/>
    <w:rsid w:val="00F7415C"/>
    <w:rPr>
      <w:rFonts w:ascii="Courier New" w:eastAsia="Times New Roman" w:hAnsi="Courier New" w:cs="Times New Roman"/>
      <w:sz w:val="20"/>
      <w:szCs w:val="20"/>
      <w:lang w:eastAsia="es-ES"/>
    </w:rPr>
  </w:style>
  <w:style w:type="table" w:styleId="Tablaconcuadrcula">
    <w:name w:val="Table Grid"/>
    <w:basedOn w:val="Tablanormal"/>
    <w:uiPriority w:val="59"/>
    <w:rsid w:val="00F741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7777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77F"/>
    <w:rPr>
      <w:sz w:val="20"/>
      <w:szCs w:val="20"/>
    </w:rPr>
  </w:style>
  <w:style w:type="character" w:styleId="Refdenotaalfinal">
    <w:name w:val="endnote reference"/>
    <w:basedOn w:val="Fuentedeprrafopredeter"/>
    <w:uiPriority w:val="99"/>
    <w:semiHidden/>
    <w:unhideWhenUsed/>
    <w:rsid w:val="0057777F"/>
    <w:rPr>
      <w:vertAlign w:val="superscript"/>
    </w:rPr>
  </w:style>
  <w:style w:type="table" w:customStyle="1" w:styleId="Tablaconcuadrcula1">
    <w:name w:val="Tabla con cuadrícula1"/>
    <w:basedOn w:val="Tablanormal"/>
    <w:next w:val="Tablaconcuadrcula"/>
    <w:rsid w:val="008247F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qFormat/>
    <w:rsid w:val="005648C5"/>
    <w:pPr>
      <w:spacing w:before="120" w:after="120"/>
    </w:pPr>
    <w:rPr>
      <w:b/>
      <w:bCs/>
      <w:caps/>
      <w:sz w:val="20"/>
      <w:szCs w:val="20"/>
    </w:rPr>
  </w:style>
  <w:style w:type="paragraph" w:styleId="TDC2">
    <w:name w:val="toc 2"/>
    <w:basedOn w:val="Normal"/>
    <w:next w:val="Normal"/>
    <w:autoRedefine/>
    <w:uiPriority w:val="39"/>
    <w:qFormat/>
    <w:rsid w:val="003B31BC"/>
    <w:pPr>
      <w:spacing w:after="0"/>
      <w:ind w:left="220"/>
    </w:pPr>
    <w:rPr>
      <w:smallCaps/>
      <w:sz w:val="20"/>
      <w:szCs w:val="20"/>
    </w:rPr>
  </w:style>
  <w:style w:type="paragraph" w:styleId="TDC3">
    <w:name w:val="toc 3"/>
    <w:basedOn w:val="Normal"/>
    <w:next w:val="Normal"/>
    <w:autoRedefine/>
    <w:uiPriority w:val="39"/>
    <w:unhideWhenUsed/>
    <w:rsid w:val="00230912"/>
    <w:pPr>
      <w:spacing w:after="0"/>
      <w:ind w:left="440"/>
    </w:pPr>
    <w:rPr>
      <w:i/>
      <w:iCs/>
      <w:sz w:val="20"/>
      <w:szCs w:val="20"/>
    </w:rPr>
  </w:style>
  <w:style w:type="paragraph" w:styleId="TDC4">
    <w:name w:val="toc 4"/>
    <w:basedOn w:val="Normal"/>
    <w:next w:val="Normal"/>
    <w:autoRedefine/>
    <w:uiPriority w:val="39"/>
    <w:unhideWhenUsed/>
    <w:rsid w:val="00230912"/>
    <w:pPr>
      <w:spacing w:after="0"/>
      <w:ind w:left="660"/>
    </w:pPr>
    <w:rPr>
      <w:sz w:val="18"/>
      <w:szCs w:val="18"/>
    </w:rPr>
  </w:style>
  <w:style w:type="paragraph" w:styleId="TDC5">
    <w:name w:val="toc 5"/>
    <w:basedOn w:val="Normal"/>
    <w:next w:val="Normal"/>
    <w:autoRedefine/>
    <w:uiPriority w:val="39"/>
    <w:unhideWhenUsed/>
    <w:rsid w:val="00230912"/>
    <w:pPr>
      <w:spacing w:after="0"/>
      <w:ind w:left="880"/>
    </w:pPr>
    <w:rPr>
      <w:sz w:val="18"/>
      <w:szCs w:val="18"/>
    </w:rPr>
  </w:style>
  <w:style w:type="paragraph" w:styleId="TDC6">
    <w:name w:val="toc 6"/>
    <w:basedOn w:val="Normal"/>
    <w:next w:val="Normal"/>
    <w:autoRedefine/>
    <w:uiPriority w:val="39"/>
    <w:unhideWhenUsed/>
    <w:rsid w:val="00230912"/>
    <w:pPr>
      <w:spacing w:after="0"/>
      <w:ind w:left="1100"/>
    </w:pPr>
    <w:rPr>
      <w:sz w:val="18"/>
      <w:szCs w:val="18"/>
    </w:rPr>
  </w:style>
  <w:style w:type="paragraph" w:styleId="TDC7">
    <w:name w:val="toc 7"/>
    <w:basedOn w:val="Normal"/>
    <w:next w:val="Normal"/>
    <w:autoRedefine/>
    <w:uiPriority w:val="39"/>
    <w:unhideWhenUsed/>
    <w:rsid w:val="00230912"/>
    <w:pPr>
      <w:spacing w:after="0"/>
      <w:ind w:left="1320"/>
    </w:pPr>
    <w:rPr>
      <w:sz w:val="18"/>
      <w:szCs w:val="18"/>
    </w:rPr>
  </w:style>
  <w:style w:type="paragraph" w:styleId="TDC8">
    <w:name w:val="toc 8"/>
    <w:basedOn w:val="Normal"/>
    <w:next w:val="Normal"/>
    <w:autoRedefine/>
    <w:uiPriority w:val="39"/>
    <w:unhideWhenUsed/>
    <w:rsid w:val="00230912"/>
    <w:pPr>
      <w:spacing w:after="0"/>
      <w:ind w:left="1540"/>
    </w:pPr>
    <w:rPr>
      <w:sz w:val="18"/>
      <w:szCs w:val="18"/>
    </w:rPr>
  </w:style>
  <w:style w:type="paragraph" w:styleId="TDC9">
    <w:name w:val="toc 9"/>
    <w:basedOn w:val="Normal"/>
    <w:next w:val="Normal"/>
    <w:autoRedefine/>
    <w:uiPriority w:val="39"/>
    <w:unhideWhenUsed/>
    <w:rsid w:val="00230912"/>
    <w:pPr>
      <w:spacing w:after="0"/>
      <w:ind w:left="1760"/>
    </w:pPr>
    <w:rPr>
      <w:sz w:val="18"/>
      <w:szCs w:val="18"/>
    </w:rPr>
  </w:style>
  <w:style w:type="character" w:customStyle="1" w:styleId="UnresolvedMention">
    <w:name w:val="Unresolved Mention"/>
    <w:basedOn w:val="Fuentedeprrafopredeter"/>
    <w:uiPriority w:val="99"/>
    <w:semiHidden/>
    <w:unhideWhenUsed/>
    <w:rsid w:val="008273C0"/>
    <w:rPr>
      <w:color w:val="808080"/>
      <w:shd w:val="clear" w:color="auto" w:fill="E6E6E6"/>
    </w:rPr>
  </w:style>
  <w:style w:type="paragraph" w:styleId="ndice1">
    <w:name w:val="index 1"/>
    <w:basedOn w:val="Normal"/>
    <w:next w:val="Normal"/>
    <w:autoRedefine/>
    <w:uiPriority w:val="99"/>
    <w:unhideWhenUsed/>
    <w:rsid w:val="00EF2032"/>
    <w:pPr>
      <w:tabs>
        <w:tab w:val="right" w:leader="dot" w:pos="9062"/>
      </w:tabs>
      <w:spacing w:after="0" w:line="240" w:lineRule="auto"/>
      <w:ind w:left="220" w:hanging="220"/>
    </w:pPr>
    <w:rPr>
      <w:rFonts w:ascii="Arial" w:hAnsi="Arial" w:cs="Arial"/>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83327">
      <w:bodyDiv w:val="1"/>
      <w:marLeft w:val="0"/>
      <w:marRight w:val="0"/>
      <w:marTop w:val="0"/>
      <w:marBottom w:val="0"/>
      <w:divBdr>
        <w:top w:val="none" w:sz="0" w:space="0" w:color="auto"/>
        <w:left w:val="none" w:sz="0" w:space="0" w:color="auto"/>
        <w:bottom w:val="none" w:sz="0" w:space="0" w:color="auto"/>
        <w:right w:val="none" w:sz="0" w:space="0" w:color="auto"/>
      </w:divBdr>
    </w:div>
    <w:div w:id="1192302541">
      <w:bodyDiv w:val="1"/>
      <w:marLeft w:val="0"/>
      <w:marRight w:val="0"/>
      <w:marTop w:val="0"/>
      <w:marBottom w:val="0"/>
      <w:divBdr>
        <w:top w:val="none" w:sz="0" w:space="0" w:color="auto"/>
        <w:left w:val="none" w:sz="0" w:space="0" w:color="auto"/>
        <w:bottom w:val="none" w:sz="0" w:space="0" w:color="auto"/>
        <w:right w:val="none" w:sz="0" w:space="0" w:color="auto"/>
      </w:divBdr>
    </w:div>
    <w:div w:id="21396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image" Target="media/image2.png"/><Relationship Id="rId17" Type="http://schemas.openxmlformats.org/officeDocument/2006/relationships/theme" Target="theme/theme1.xml"/><Relationship Id="rId7" Type="http://schemas.openxmlformats.org/officeDocument/2006/relationships/footnotes" Target="foot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11" Type="http://schemas.openxmlformats.org/officeDocument/2006/relationships/footer" Target="footer1.xml"/><Relationship Id="rId6" Type="http://schemas.openxmlformats.org/officeDocument/2006/relationships/webSettings" Target="webSettings.xml"/><Relationship Id="rId15"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customXml" Target="../customXml/item2.xml"/><Relationship Id="rId14"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Relationships xmlns="http://schemas.openxmlformats.org/package/2006/relationships">
  <Relationship Id="rId1" Type="http://schemas.openxmlformats.org/officeDocument/2006/relationships/hyperlink" TargetMode="External" Target="http://www.wipo.int/sme/es/ip_business/trade_secrets/patent_trade.htm"/>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FD6F5886E494A4C9FC73663D7C0438A" ma:contentTypeVersion="3" ma:contentTypeDescription="Crear nuevo documento." ma:contentTypeScope="" ma:versionID="bd92d72d2377c38d64bb2bbd94df975e">
  <xsd:schema xmlns:xsd="http://www.w3.org/2001/XMLSchema" xmlns:xs="http://www.w3.org/2001/XMLSchema" xmlns:p="http://schemas.microsoft.com/office/2006/metadata/properties" xmlns:ns1="http://schemas.microsoft.com/sharepoint/v3" targetNamespace="http://schemas.microsoft.com/office/2006/metadata/properties" ma:root="true" ma:fieldsID="04e29a4546c2517da4f709ca0638f59e"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VariationsItemGroupID xmlns="http://schemas.microsoft.com/sharepoint/v3">774ea88c-6cb4-48a9-952b-3ce93d09f3b1</VariationsItemGroupID>
  </documentManagement>
</p:properties>
</file>

<file path=customXml/itemProps1.xml><?xml version="1.0" encoding="utf-8"?>
<ds:datastoreItem xmlns:ds="http://schemas.openxmlformats.org/officeDocument/2006/customXml" ds:itemID="{376099B3-DDBB-4441-B423-93FB860F1CD3}">
  <ds:schemaRefs>
    <ds:schemaRef ds:uri="http://schemas.openxmlformats.org/officeDocument/2006/bibliography"/>
  </ds:schemaRefs>
</ds:datastoreItem>
</file>

<file path=customXml/itemProps2.xml><?xml version="1.0" encoding="utf-8"?>
<ds:datastoreItem xmlns:ds="http://schemas.openxmlformats.org/officeDocument/2006/customXml" ds:itemID="{2A26EE06-05FA-48E2-9249-CAB085730F45}"/>
</file>

<file path=customXml/itemProps3.xml><?xml version="1.0" encoding="utf-8"?>
<ds:datastoreItem xmlns:ds="http://schemas.openxmlformats.org/officeDocument/2006/customXml" ds:itemID="{FA39B0DE-B2CF-4688-99BD-544A0C38EDAF}"/>
</file>

<file path=customXml/itemProps4.xml><?xml version="1.0" encoding="utf-8"?>
<ds:datastoreItem xmlns:ds="http://schemas.openxmlformats.org/officeDocument/2006/customXml" ds:itemID="{C63B329D-AE97-4139-B9C4-03F2337ABAB7}"/>
</file>

<file path=docProps/app.xml><?xml version="1.0" encoding="utf-8"?>
<Properties xmlns="http://schemas.openxmlformats.org/officeDocument/2006/extended-properties" xmlns:vt="http://schemas.openxmlformats.org/officeDocument/2006/docPropsVTypes">
  <Template>Normal</Template>
  <TotalTime>1</TotalTime>
  <Pages>110</Pages>
  <Words>33189</Words>
  <Characters>182545</Characters>
  <Application>Microsoft Office Word</Application>
  <DocSecurity>0</DocSecurity>
  <Lines>1521</Lines>
  <Paragraphs>430</Paragraphs>
  <ScaleCrop>false</ScaleCrop>
  <HeadingPairs>
    <vt:vector size="2" baseType="variant">
      <vt:variant>
        <vt:lpstr>Título</vt:lpstr>
      </vt:variant>
      <vt:variant>
        <vt:i4>1</vt:i4>
      </vt:variant>
    </vt:vector>
  </HeadingPairs>
  <TitlesOfParts>
    <vt:vector size="1" baseType="lpstr">
      <vt:lpstr/>
    </vt:vector>
  </TitlesOfParts>
  <Company>Ministerio de Justicia</Company>
  <LinksUpToDate>false</LinksUpToDate>
  <CharactersWithSpaces>215304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1292428814836-Pl Secretos Empresariales Main</dc:title>
  <dc:creator>FERNANDEZ ALVAREZ, JACOBO</dc:creator>
  <cp:lastModifiedBy>GEIRA VILLAESCUSA, MARIA LLANOS</cp:lastModifiedBy>
  <cp:revision>2</cp:revision>
  <cp:lastPrinted>2018-05-21T08:13:00Z</cp:lastPrinted>
  <dcterms:created xsi:type="dcterms:W3CDTF">2018-05-30T08:38:00Z</dcterms:created>
  <dcterms:modified xsi:type="dcterms:W3CDTF">2018-05-30T08:38:00Z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group">
    <vt:lpwstr>Actividad Legislativa</vt:lpwstr>
  </property>
  <property fmtid="{D5CDD505-2E9C-101B-9397-08002B2CF9AE}" pid="4" name="updateddate">
    <vt:lpwstr>2018-05-30 13:33:22</vt:lpwstr>
  </property>
  <property fmtid="{D5CDD505-2E9C-101B-9397-08002B2CF9AE}" pid="5" name="ContentTypeId">
    <vt:lpwstr>0x0101007FD6F5886E494A4C9FC73663D7C0438A</vt:lpwstr>
  </property>
  <property fmtid="{D5CDD505-2E9C-101B-9397-08002B2CF9AE}" pid="6" name="Order">
    <vt:r8>28100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