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0556"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bookmarkStart w:id="0" w:name="_Toc291066877"/>
      <w:bookmarkStart w:id="1" w:name="_Toc291066943"/>
      <w:bookmarkStart w:id="2" w:name="_Toc291067632"/>
      <w:bookmarkStart w:id="3" w:name="_Toc291576999"/>
    </w:p>
    <w:p w14:paraId="65A98D41"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349CEEB9"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037F0F92"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3C84F7C8"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54227FC8"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4A8D0A7A"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1FD7B699"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3184E1FA" w14:textId="77777777" w:rsidR="0063584C" w:rsidRPr="00096827" w:rsidRDefault="0063584C" w:rsidP="0063584C">
      <w:pPr>
        <w:spacing w:before="120" w:after="120" w:line="240" w:lineRule="auto"/>
        <w:jc w:val="both"/>
        <w:rPr>
          <w:rFonts w:ascii="Trebuchet MS" w:eastAsia="Times New Roman" w:hAnsi="Trebuchet MS" w:cs="Times New Roman"/>
          <w:b/>
          <w:color w:val="008080"/>
          <w:sz w:val="24"/>
          <w:szCs w:val="24"/>
        </w:rPr>
      </w:pPr>
    </w:p>
    <w:p w14:paraId="35787E12" w14:textId="649CE2BD" w:rsidR="00E072D2" w:rsidRPr="00E072D2" w:rsidRDefault="0063584C" w:rsidP="00E072D2">
      <w:pPr>
        <w:framePr w:hSpace="141" w:wrap="around" w:vAnchor="page" w:hAnchor="margin" w:x="-147" w:y="2039"/>
        <w:spacing w:line="360" w:lineRule="auto"/>
        <w:jc w:val="both"/>
        <w:outlineLvl w:val="0"/>
        <w:rPr>
          <w:rFonts w:ascii="Verdana" w:hAnsi="Verdana" w:cs="Arial"/>
          <w:b/>
          <w:sz w:val="28"/>
          <w:szCs w:val="28"/>
        </w:rPr>
      </w:pPr>
      <w:r w:rsidRPr="00471839">
        <w:rPr>
          <w:rFonts w:ascii="Verdana" w:eastAsia="Times New Roman" w:hAnsi="Verdana" w:cs="Arial"/>
          <w:b/>
          <w:color w:val="000000"/>
          <w:sz w:val="28"/>
          <w:szCs w:val="28"/>
          <w:lang w:val="es-ES_tradnl"/>
        </w:rPr>
        <w:t xml:space="preserve">MEMORIA DEL ANÁLISIS DE IMPACTO NORMATIVO DEL </w:t>
      </w:r>
      <w:r w:rsidR="00E072D2" w:rsidRPr="00E072D2">
        <w:rPr>
          <w:rFonts w:ascii="Verdana" w:hAnsi="Verdana" w:cs="Arial"/>
          <w:b/>
          <w:sz w:val="28"/>
          <w:szCs w:val="28"/>
          <w:lang w:val="pt-PT"/>
        </w:rPr>
        <w:t>PROYECTO DE ORDEN MINISTERIAL POR LA QUE SE MODIFICA LA ORDEN Orden JUS/2296/2005, DE 12 DE JULIO, SOBRE SELECCIÓN, PROPUESTA Y NOMBRAMIENTO DE FUNCIONARIOS INTERINOS PARA CUBRIR PUESTOS DE FUNCIONARIOS DE LOS CUERPOS AL SERVICIO DE LA ADMINISTRACIÓN DE JUSTICIA.</w:t>
      </w:r>
    </w:p>
    <w:p w14:paraId="4F84C57A" w14:textId="6A89573F" w:rsidR="004C015E" w:rsidRPr="00471839" w:rsidRDefault="004C015E" w:rsidP="004C015E">
      <w:pPr>
        <w:framePr w:hSpace="141" w:wrap="around" w:vAnchor="page" w:hAnchor="margin" w:x="-147" w:y="2039"/>
        <w:spacing w:line="360" w:lineRule="auto"/>
        <w:jc w:val="both"/>
        <w:outlineLvl w:val="0"/>
        <w:rPr>
          <w:rFonts w:ascii="Verdana" w:hAnsi="Verdana" w:cs="Arial"/>
          <w:b/>
          <w:sz w:val="28"/>
          <w:szCs w:val="28"/>
        </w:rPr>
      </w:pPr>
    </w:p>
    <w:p w14:paraId="51DDF7DB" w14:textId="2F4AE647" w:rsidR="0063584C" w:rsidRPr="00096827" w:rsidRDefault="0063584C" w:rsidP="004C015E">
      <w:pPr>
        <w:spacing w:before="120" w:after="120" w:line="360" w:lineRule="auto"/>
        <w:jc w:val="both"/>
        <w:rPr>
          <w:rFonts w:ascii="Verdana" w:eastAsia="Times New Roman" w:hAnsi="Verdana" w:cs="Arial"/>
          <w:b/>
          <w:caps/>
          <w:color w:val="000000"/>
          <w:lang w:val="es-ES_tradnl"/>
        </w:rPr>
      </w:pPr>
    </w:p>
    <w:bookmarkEnd w:id="0"/>
    <w:bookmarkEnd w:id="1"/>
    <w:bookmarkEnd w:id="2"/>
    <w:bookmarkEnd w:id="3"/>
    <w:p w14:paraId="26E7A44B" w14:textId="77777777" w:rsidR="0063584C" w:rsidRPr="00096827" w:rsidRDefault="0063584C" w:rsidP="00EA3EE8">
      <w:pPr>
        <w:spacing w:before="120" w:after="120" w:line="360" w:lineRule="auto"/>
        <w:rPr>
          <w:rFonts w:ascii="Verdana" w:eastAsia="Times New Roman" w:hAnsi="Verdana" w:cs="Times New Roman"/>
          <w:b/>
          <w:noProof/>
          <w:color w:val="000000"/>
          <w:szCs w:val="32"/>
        </w:rPr>
      </w:pPr>
    </w:p>
    <w:p w14:paraId="2A0CE2A6" w14:textId="77777777" w:rsidR="0063584C" w:rsidRPr="00096827" w:rsidRDefault="0063584C" w:rsidP="0063584C">
      <w:pPr>
        <w:spacing w:before="120" w:after="120" w:line="360" w:lineRule="auto"/>
        <w:jc w:val="both"/>
        <w:rPr>
          <w:rFonts w:ascii="Verdana" w:eastAsia="Times New Roman" w:hAnsi="Verdana" w:cs="Times New Roman"/>
          <w:b/>
          <w:noProof/>
          <w:color w:val="000000"/>
          <w:szCs w:val="32"/>
        </w:rPr>
      </w:pPr>
    </w:p>
    <w:p w14:paraId="4B5FBC9E" w14:textId="77777777" w:rsidR="0063584C" w:rsidRPr="00096827" w:rsidRDefault="0063584C" w:rsidP="0063584C">
      <w:pPr>
        <w:keepNext/>
        <w:pageBreakBefore/>
        <w:numPr>
          <w:ilvl w:val="0"/>
          <w:numId w:val="1"/>
        </w:numPr>
        <w:pBdr>
          <w:bottom w:val="single" w:sz="4" w:space="1" w:color="008080"/>
        </w:pBdr>
        <w:spacing w:before="120" w:after="480" w:line="240" w:lineRule="auto"/>
        <w:jc w:val="both"/>
        <w:outlineLvl w:val="0"/>
        <w:rPr>
          <w:rFonts w:ascii="Verdana" w:eastAsia="Times New Roman" w:hAnsi="Verdana" w:cs="Arial"/>
          <w:b/>
          <w:caps/>
          <w:color w:val="000000"/>
          <w:szCs w:val="28"/>
          <w:lang w:eastAsia="es-ES"/>
        </w:rPr>
      </w:pPr>
      <w:bookmarkStart w:id="4" w:name="_Toc342985069"/>
      <w:r w:rsidRPr="00096827">
        <w:rPr>
          <w:rFonts w:ascii="Verdana" w:eastAsia="Times New Roman" w:hAnsi="Verdana" w:cs="Arial"/>
          <w:b/>
          <w:caps/>
          <w:color w:val="000000"/>
          <w:szCs w:val="28"/>
          <w:lang w:eastAsia="es-ES"/>
        </w:rPr>
        <w:lastRenderedPageBreak/>
        <w:t xml:space="preserve">RESUMEN </w:t>
      </w:r>
      <w:r w:rsidRPr="00096827">
        <w:rPr>
          <w:rFonts w:ascii="Verdana" w:eastAsia="Times New Roman" w:hAnsi="Verdana" w:cs="Arial"/>
          <w:b/>
          <w:color w:val="000000"/>
          <w:szCs w:val="28"/>
          <w:lang w:eastAsia="es-ES"/>
        </w:rPr>
        <w:t>EJECUTIVO</w:t>
      </w:r>
      <w:bookmarkEnd w:id="4"/>
    </w:p>
    <w:p w14:paraId="32D3C9B9" w14:textId="77777777" w:rsidR="0063584C" w:rsidRPr="00096827" w:rsidRDefault="0063584C" w:rsidP="0063584C">
      <w:pPr>
        <w:spacing w:before="120" w:after="0" w:line="360" w:lineRule="auto"/>
        <w:jc w:val="both"/>
        <w:rPr>
          <w:rFonts w:ascii="Verdana" w:eastAsia="Times New Roman" w:hAnsi="Verdana" w:cs="Times New Roman"/>
          <w:b/>
          <w:color w:val="000000"/>
          <w:szCs w:val="20"/>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2394"/>
        <w:gridCol w:w="142"/>
        <w:gridCol w:w="143"/>
        <w:gridCol w:w="3132"/>
        <w:gridCol w:w="1128"/>
        <w:gridCol w:w="2544"/>
      </w:tblGrid>
      <w:tr w:rsidR="0063584C" w:rsidRPr="00096827" w14:paraId="4F7F5BBF" w14:textId="77777777" w:rsidTr="0070003B">
        <w:trPr>
          <w:trHeight w:hRule="exact" w:val="1594"/>
        </w:trPr>
        <w:tc>
          <w:tcPr>
            <w:tcW w:w="2536" w:type="dxa"/>
            <w:gridSpan w:val="2"/>
            <w:shd w:val="clear" w:color="auto" w:fill="FFFFFF"/>
          </w:tcPr>
          <w:p w14:paraId="01EE8D43" w14:textId="77777777" w:rsidR="0063584C" w:rsidRPr="00096827" w:rsidRDefault="0063584C" w:rsidP="00617FE5">
            <w:pPr>
              <w:widowControl w:val="0"/>
              <w:autoSpaceDE w:val="0"/>
              <w:autoSpaceDN w:val="0"/>
              <w:adjustRightInd w:val="0"/>
              <w:spacing w:before="120" w:after="0" w:line="360" w:lineRule="auto"/>
              <w:ind w:left="91" w:right="833"/>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Ministerio/</w:t>
            </w:r>
          </w:p>
          <w:p w14:paraId="37ADE8A8" w14:textId="77777777" w:rsidR="0063584C" w:rsidRPr="00096827" w:rsidRDefault="0063584C" w:rsidP="00617FE5">
            <w:pPr>
              <w:widowControl w:val="0"/>
              <w:autoSpaceDE w:val="0"/>
              <w:autoSpaceDN w:val="0"/>
              <w:adjustRightInd w:val="0"/>
              <w:spacing w:before="120" w:after="0" w:line="360" w:lineRule="auto"/>
              <w:ind w:left="91" w:right="833"/>
              <w:rPr>
                <w:rFonts w:ascii="Verdana" w:eastAsia="Times New Roman" w:hAnsi="Verdana" w:cs="Times New Roman"/>
                <w:color w:val="000000"/>
                <w:sz w:val="20"/>
                <w:szCs w:val="20"/>
              </w:rPr>
            </w:pPr>
            <w:r w:rsidRPr="00096827">
              <w:rPr>
                <w:rFonts w:ascii="Verdana" w:eastAsia="Times New Roman" w:hAnsi="Verdana" w:cs="Arial"/>
                <w:b/>
                <w:bCs/>
                <w:color w:val="000000"/>
                <w:sz w:val="20"/>
                <w:szCs w:val="20"/>
              </w:rPr>
              <w:t>Órgano proponen</w:t>
            </w:r>
            <w:r w:rsidRPr="00096827">
              <w:rPr>
                <w:rFonts w:ascii="Verdana" w:eastAsia="Times New Roman" w:hAnsi="Verdana" w:cs="Arial"/>
                <w:b/>
                <w:bCs/>
                <w:color w:val="000000"/>
                <w:spacing w:val="2"/>
                <w:sz w:val="20"/>
                <w:szCs w:val="20"/>
              </w:rPr>
              <w:t>t</w:t>
            </w:r>
            <w:r w:rsidRPr="00096827">
              <w:rPr>
                <w:rFonts w:ascii="Verdana" w:eastAsia="Times New Roman" w:hAnsi="Verdana" w:cs="Arial"/>
                <w:b/>
                <w:bCs/>
                <w:color w:val="000000"/>
                <w:sz w:val="20"/>
                <w:szCs w:val="20"/>
              </w:rPr>
              <w:t>e</w:t>
            </w:r>
          </w:p>
        </w:tc>
        <w:tc>
          <w:tcPr>
            <w:tcW w:w="3275" w:type="dxa"/>
            <w:gridSpan w:val="2"/>
            <w:shd w:val="clear" w:color="auto" w:fill="FFFFFF"/>
          </w:tcPr>
          <w:p w14:paraId="25C33A0B" w14:textId="2D7CB455" w:rsidR="0063584C" w:rsidRPr="003E41E2" w:rsidRDefault="0063584C" w:rsidP="00064A9E">
            <w:pPr>
              <w:spacing w:after="200" w:line="360" w:lineRule="auto"/>
              <w:ind w:left="122"/>
              <w:jc w:val="both"/>
              <w:rPr>
                <w:rFonts w:ascii="Verdana" w:eastAsia="Times New Roman" w:hAnsi="Verdana" w:cs="Times New Roman"/>
                <w:bCs/>
                <w:color w:val="000000"/>
                <w:sz w:val="20"/>
                <w:szCs w:val="20"/>
              </w:rPr>
            </w:pPr>
            <w:r w:rsidRPr="003E41E2">
              <w:rPr>
                <w:rFonts w:ascii="Verdana" w:eastAsia="Times New Roman" w:hAnsi="Verdana" w:cs="Times New Roman"/>
                <w:bCs/>
                <w:color w:val="000000"/>
                <w:sz w:val="20"/>
                <w:szCs w:val="20"/>
              </w:rPr>
              <w:t xml:space="preserve">Ministerio de </w:t>
            </w:r>
            <w:r w:rsidR="00C752DC">
              <w:rPr>
                <w:rFonts w:ascii="Verdana" w:eastAsia="Times New Roman" w:hAnsi="Verdana" w:cs="Times New Roman"/>
                <w:bCs/>
                <w:color w:val="000000"/>
                <w:sz w:val="20"/>
                <w:szCs w:val="20"/>
              </w:rPr>
              <w:t xml:space="preserve">la Presidencia, </w:t>
            </w:r>
            <w:r w:rsidRPr="003E41E2">
              <w:rPr>
                <w:rFonts w:ascii="Verdana" w:eastAsia="Times New Roman" w:hAnsi="Verdana" w:cs="Times New Roman"/>
                <w:bCs/>
                <w:color w:val="000000"/>
                <w:sz w:val="20"/>
                <w:szCs w:val="20"/>
              </w:rPr>
              <w:t>Justicia</w:t>
            </w:r>
            <w:r w:rsidR="00C752DC">
              <w:rPr>
                <w:rFonts w:ascii="Verdana" w:eastAsia="Times New Roman" w:hAnsi="Verdana" w:cs="Times New Roman"/>
                <w:bCs/>
                <w:color w:val="000000"/>
                <w:sz w:val="20"/>
                <w:szCs w:val="20"/>
              </w:rPr>
              <w:t xml:space="preserve"> y Relaciones con las </w:t>
            </w:r>
            <w:r w:rsidR="0048115C">
              <w:rPr>
                <w:rFonts w:ascii="Verdana" w:eastAsia="Times New Roman" w:hAnsi="Verdana" w:cs="Times New Roman"/>
                <w:bCs/>
                <w:color w:val="000000"/>
                <w:sz w:val="20"/>
                <w:szCs w:val="20"/>
              </w:rPr>
              <w:t>Cortes</w:t>
            </w:r>
            <w:r w:rsidR="00471839">
              <w:rPr>
                <w:rFonts w:ascii="Verdana" w:eastAsia="Times New Roman" w:hAnsi="Verdana" w:cs="Times New Roman"/>
                <w:bCs/>
                <w:color w:val="000000"/>
                <w:sz w:val="20"/>
                <w:szCs w:val="20"/>
              </w:rPr>
              <w:t xml:space="preserve"> y </w:t>
            </w:r>
            <w:r w:rsidR="00471839" w:rsidRPr="00471839">
              <w:rPr>
                <w:rFonts w:ascii="Verdana" w:eastAsia="Times New Roman" w:hAnsi="Verdana" w:cs="Times New Roman"/>
                <w:bCs/>
                <w:color w:val="000000"/>
                <w:sz w:val="20"/>
                <w:szCs w:val="20"/>
              </w:rPr>
              <w:t>Ministerio de Hacienda</w:t>
            </w:r>
            <w:r w:rsidR="00471839">
              <w:rPr>
                <w:rFonts w:ascii="Verdana" w:eastAsia="Times New Roman" w:hAnsi="Verdana" w:cs="Times New Roman"/>
                <w:bCs/>
                <w:color w:val="000000"/>
                <w:sz w:val="20"/>
                <w:szCs w:val="20"/>
              </w:rPr>
              <w:t>.</w:t>
            </w:r>
          </w:p>
          <w:p w14:paraId="4D968DA3" w14:textId="77777777" w:rsidR="0063584C" w:rsidRPr="003E41E2" w:rsidRDefault="0063584C" w:rsidP="00617FE5">
            <w:pPr>
              <w:widowControl w:val="0"/>
              <w:autoSpaceDE w:val="0"/>
              <w:autoSpaceDN w:val="0"/>
              <w:adjustRightInd w:val="0"/>
              <w:spacing w:before="120" w:after="0" w:line="360" w:lineRule="auto"/>
              <w:ind w:left="101" w:right="31"/>
              <w:rPr>
                <w:rFonts w:ascii="Verdana" w:eastAsia="Times New Roman" w:hAnsi="Verdana" w:cs="Arial"/>
                <w:color w:val="000000"/>
                <w:sz w:val="20"/>
                <w:szCs w:val="20"/>
              </w:rPr>
            </w:pPr>
          </w:p>
        </w:tc>
        <w:tc>
          <w:tcPr>
            <w:tcW w:w="1128" w:type="dxa"/>
            <w:shd w:val="clear" w:color="auto" w:fill="FFFFFF"/>
          </w:tcPr>
          <w:p w14:paraId="23C497A9" w14:textId="77777777" w:rsidR="0063584C" w:rsidRPr="003E41E2" w:rsidRDefault="0063584C" w:rsidP="00617FE5">
            <w:pPr>
              <w:widowControl w:val="0"/>
              <w:autoSpaceDE w:val="0"/>
              <w:autoSpaceDN w:val="0"/>
              <w:adjustRightInd w:val="0"/>
              <w:spacing w:before="120" w:after="0" w:line="360" w:lineRule="auto"/>
              <w:ind w:left="91" w:right="-20"/>
              <w:jc w:val="both"/>
              <w:rPr>
                <w:rFonts w:ascii="Verdana" w:eastAsia="Times New Roman" w:hAnsi="Verdana" w:cs="Times New Roman"/>
                <w:color w:val="000000"/>
                <w:sz w:val="20"/>
                <w:szCs w:val="20"/>
              </w:rPr>
            </w:pPr>
            <w:r w:rsidRPr="003E41E2">
              <w:rPr>
                <w:rFonts w:ascii="Verdana" w:eastAsia="Times New Roman" w:hAnsi="Verdana" w:cs="Arial"/>
                <w:b/>
                <w:bCs/>
                <w:color w:val="000000"/>
                <w:sz w:val="20"/>
                <w:szCs w:val="20"/>
              </w:rPr>
              <w:t>Fecha</w:t>
            </w:r>
          </w:p>
        </w:tc>
        <w:tc>
          <w:tcPr>
            <w:tcW w:w="2544" w:type="dxa"/>
            <w:shd w:val="clear" w:color="auto" w:fill="FFFFFF"/>
          </w:tcPr>
          <w:p w14:paraId="7EBDB96C" w14:textId="30D07FD6" w:rsidR="0063584C" w:rsidRPr="003E41E2" w:rsidRDefault="000C48B1" w:rsidP="000C48B1">
            <w:pPr>
              <w:widowControl w:val="0"/>
              <w:autoSpaceDE w:val="0"/>
              <w:autoSpaceDN w:val="0"/>
              <w:adjustRightInd w:val="0"/>
              <w:spacing w:before="120" w:after="0" w:line="360" w:lineRule="auto"/>
              <w:ind w:left="101" w:right="142"/>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lang w:val="es-ES_tradnl"/>
              </w:rPr>
              <w:t>20 mayo 2025</w:t>
            </w:r>
          </w:p>
        </w:tc>
      </w:tr>
      <w:tr w:rsidR="0063584C" w:rsidRPr="000C48B1" w14:paraId="1129179D" w14:textId="77777777" w:rsidTr="0070003B">
        <w:trPr>
          <w:trHeight w:hRule="exact" w:val="1510"/>
        </w:trPr>
        <w:tc>
          <w:tcPr>
            <w:tcW w:w="2536" w:type="dxa"/>
            <w:gridSpan w:val="2"/>
            <w:shd w:val="clear" w:color="auto" w:fill="FFFFFF"/>
          </w:tcPr>
          <w:p w14:paraId="63EF7D6F"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Times New Roman"/>
                <w:color w:val="000000"/>
                <w:sz w:val="20"/>
                <w:szCs w:val="20"/>
              </w:rPr>
            </w:pPr>
            <w:r w:rsidRPr="00096827">
              <w:rPr>
                <w:rFonts w:ascii="Verdana" w:eastAsia="Times New Roman" w:hAnsi="Verdana" w:cs="Arial"/>
                <w:b/>
                <w:bCs/>
                <w:color w:val="000000"/>
                <w:sz w:val="20"/>
                <w:szCs w:val="20"/>
              </w:rPr>
              <w:t>Título de la norma</w:t>
            </w:r>
          </w:p>
        </w:tc>
        <w:tc>
          <w:tcPr>
            <w:tcW w:w="6947" w:type="dxa"/>
            <w:gridSpan w:val="4"/>
            <w:shd w:val="clear" w:color="auto" w:fill="FFFFFF"/>
            <w:vAlign w:val="center"/>
          </w:tcPr>
          <w:p w14:paraId="5A290901" w14:textId="4B33EAD5" w:rsidR="0063584C" w:rsidRDefault="000C48B1" w:rsidP="000C48B1">
            <w:pPr>
              <w:spacing w:after="200" w:line="360" w:lineRule="auto"/>
              <w:jc w:val="both"/>
              <w:rPr>
                <w:rFonts w:ascii="Verdana" w:eastAsia="Calibri" w:hAnsi="Verdana" w:cs="Times New Roman"/>
                <w:sz w:val="20"/>
                <w:szCs w:val="20"/>
                <w:lang w:val="es-ES_tradnl"/>
              </w:rPr>
            </w:pPr>
            <w:r>
              <w:rPr>
                <w:rFonts w:ascii="Verdana" w:eastAsia="Calibri" w:hAnsi="Verdana" w:cs="Times New Roman"/>
                <w:sz w:val="20"/>
                <w:szCs w:val="20"/>
                <w:lang w:val="es-ES_tradnl"/>
              </w:rPr>
              <w:t>O</w:t>
            </w:r>
            <w:r w:rsidRPr="000C48B1">
              <w:rPr>
                <w:rFonts w:ascii="Verdana" w:eastAsia="Calibri" w:hAnsi="Verdana" w:cs="Times New Roman"/>
                <w:sz w:val="20"/>
                <w:szCs w:val="20"/>
                <w:lang w:val="es-ES_tradnl"/>
              </w:rPr>
              <w:t xml:space="preserve">rden ministerial por la que se modifica la orden </w:t>
            </w:r>
            <w:r>
              <w:rPr>
                <w:rFonts w:ascii="Verdana" w:eastAsia="Calibri" w:hAnsi="Verdana" w:cs="Times New Roman"/>
                <w:sz w:val="20"/>
                <w:szCs w:val="20"/>
                <w:lang w:val="es-ES_tradnl"/>
              </w:rPr>
              <w:t>JUS</w:t>
            </w:r>
            <w:r w:rsidRPr="000C48B1">
              <w:rPr>
                <w:rFonts w:ascii="Verdana" w:eastAsia="Calibri" w:hAnsi="Verdana" w:cs="Times New Roman"/>
                <w:sz w:val="20"/>
                <w:szCs w:val="20"/>
                <w:lang w:val="es-ES_tradnl"/>
              </w:rPr>
              <w:t xml:space="preserve">/2296/2005, de 12 de julio, sobre selección, propuesta y nombramiento de funcionarios interinos para cubrir puestos de funcionarios de los cuerpos al servicio de la </w:t>
            </w:r>
            <w:r>
              <w:rPr>
                <w:rFonts w:ascii="Verdana" w:eastAsia="Calibri" w:hAnsi="Verdana" w:cs="Times New Roman"/>
                <w:sz w:val="20"/>
                <w:szCs w:val="20"/>
                <w:lang w:val="es-ES_tradnl"/>
              </w:rPr>
              <w:t>A</w:t>
            </w:r>
            <w:r w:rsidRPr="000C48B1">
              <w:rPr>
                <w:rFonts w:ascii="Verdana" w:eastAsia="Calibri" w:hAnsi="Verdana" w:cs="Times New Roman"/>
                <w:sz w:val="20"/>
                <w:szCs w:val="20"/>
                <w:lang w:val="es-ES_tradnl"/>
              </w:rPr>
              <w:t xml:space="preserve">dministración de </w:t>
            </w:r>
            <w:r>
              <w:rPr>
                <w:rFonts w:ascii="Verdana" w:eastAsia="Calibri" w:hAnsi="Verdana" w:cs="Times New Roman"/>
                <w:sz w:val="20"/>
                <w:szCs w:val="20"/>
                <w:lang w:val="es-ES_tradnl"/>
              </w:rPr>
              <w:t>J</w:t>
            </w:r>
            <w:r w:rsidRPr="000C48B1">
              <w:rPr>
                <w:rFonts w:ascii="Verdana" w:eastAsia="Calibri" w:hAnsi="Verdana" w:cs="Times New Roman"/>
                <w:sz w:val="20"/>
                <w:szCs w:val="20"/>
                <w:lang w:val="es-ES_tradnl"/>
              </w:rPr>
              <w:t>usticia.</w:t>
            </w:r>
          </w:p>
          <w:p w14:paraId="6223C428" w14:textId="76424889" w:rsidR="000C48B1" w:rsidRPr="00471839" w:rsidRDefault="000C48B1" w:rsidP="00471839">
            <w:pPr>
              <w:spacing w:after="200" w:line="360" w:lineRule="auto"/>
              <w:ind w:left="122"/>
              <w:jc w:val="both"/>
              <w:rPr>
                <w:rFonts w:ascii="Verdana" w:eastAsia="Calibri" w:hAnsi="Verdana" w:cs="Times New Roman"/>
                <w:sz w:val="20"/>
                <w:szCs w:val="20"/>
                <w:lang w:val="es-ES_tradnl"/>
              </w:rPr>
            </w:pPr>
          </w:p>
        </w:tc>
      </w:tr>
      <w:tr w:rsidR="0063584C" w:rsidRPr="00096827" w14:paraId="52A8AFF2" w14:textId="77777777" w:rsidTr="0070003B">
        <w:trPr>
          <w:trHeight w:hRule="exact" w:val="567"/>
        </w:trPr>
        <w:tc>
          <w:tcPr>
            <w:tcW w:w="2536" w:type="dxa"/>
            <w:gridSpan w:val="2"/>
            <w:tcBorders>
              <w:bottom w:val="single" w:sz="12" w:space="0" w:color="000000"/>
            </w:tcBorders>
            <w:shd w:val="clear" w:color="auto" w:fill="auto"/>
          </w:tcPr>
          <w:p w14:paraId="707B96C8" w14:textId="77494901" w:rsidR="0063584C" w:rsidRPr="00096827" w:rsidRDefault="0063584C" w:rsidP="00617FE5">
            <w:pPr>
              <w:widowControl w:val="0"/>
              <w:autoSpaceDE w:val="0"/>
              <w:autoSpaceDN w:val="0"/>
              <w:adjustRightInd w:val="0"/>
              <w:spacing w:before="120" w:after="0" w:line="360" w:lineRule="auto"/>
              <w:ind w:right="-20"/>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 </w:t>
            </w:r>
            <w:r w:rsidRPr="0063584C">
              <w:rPr>
                <w:rFonts w:ascii="Verdana" w:eastAsia="Times New Roman" w:hAnsi="Verdana" w:cs="Times New Roman"/>
                <w:b/>
                <w:bCs/>
                <w:color w:val="000000"/>
                <w:sz w:val="20"/>
                <w:szCs w:val="20"/>
              </w:rPr>
              <w:t>Tipo de Memoria</w:t>
            </w:r>
          </w:p>
        </w:tc>
        <w:bookmarkStart w:id="5" w:name="Casilla2"/>
        <w:tc>
          <w:tcPr>
            <w:tcW w:w="6947" w:type="dxa"/>
            <w:gridSpan w:val="4"/>
            <w:tcBorders>
              <w:bottom w:val="single" w:sz="12" w:space="0" w:color="000000"/>
            </w:tcBorders>
            <w:shd w:val="clear" w:color="auto" w:fill="auto"/>
          </w:tcPr>
          <w:p w14:paraId="50547210" w14:textId="77777777" w:rsidR="0063584C" w:rsidRPr="00096827" w:rsidRDefault="0063584C" w:rsidP="00617FE5">
            <w:pPr>
              <w:widowControl w:val="0"/>
              <w:tabs>
                <w:tab w:val="left" w:pos="3795"/>
                <w:tab w:val="left" w:pos="5573"/>
              </w:tabs>
              <w:autoSpaceDE w:val="0"/>
              <w:autoSpaceDN w:val="0"/>
              <w:adjustRightInd w:val="0"/>
              <w:spacing w:before="120" w:after="0" w:line="360" w:lineRule="auto"/>
              <w:ind w:left="818" w:right="-20"/>
              <w:jc w:val="both"/>
              <w:rPr>
                <w:rFonts w:ascii="Verdana" w:eastAsia="Times New Roman" w:hAnsi="Verdana" w:cs="Times New Roman"/>
                <w:color w:val="000000"/>
                <w:sz w:val="20"/>
                <w:szCs w:val="20"/>
              </w:rPr>
            </w:pPr>
            <w:r w:rsidRPr="00096827">
              <w:rPr>
                <w:rFonts w:ascii="Verdana" w:eastAsia="Times New Roman" w:hAnsi="Verdana" w:cs="Arial"/>
                <w:color w:val="000000"/>
                <w:sz w:val="20"/>
                <w:szCs w:val="20"/>
                <w:shd w:val="clear" w:color="auto" w:fill="FFFFFF"/>
              </w:rPr>
              <w:fldChar w:fldCharType="begin">
                <w:ffData>
                  <w:name w:val="Casilla2"/>
                  <w:enabled/>
                  <w:calcOnExit w:val="0"/>
                  <w:checkBox>
                    <w:sizeAuto/>
                    <w:default w:val="0"/>
                  </w:checkBox>
                </w:ffData>
              </w:fldChar>
            </w:r>
            <w:r w:rsidRPr="00096827">
              <w:rPr>
                <w:rFonts w:ascii="Verdana" w:eastAsia="Times New Roman" w:hAnsi="Verdana" w:cs="Arial"/>
                <w:color w:val="000000"/>
                <w:sz w:val="20"/>
                <w:szCs w:val="20"/>
                <w:shd w:val="clear" w:color="auto" w:fill="FFFFFF"/>
              </w:rPr>
              <w:instrText xml:space="preserve"> FORMCHECKBOX </w:instrText>
            </w:r>
            <w:r w:rsidR="00000000">
              <w:rPr>
                <w:rFonts w:ascii="Verdana" w:eastAsia="Times New Roman" w:hAnsi="Verdana" w:cs="Arial"/>
                <w:color w:val="000000"/>
                <w:sz w:val="20"/>
                <w:szCs w:val="20"/>
                <w:shd w:val="clear" w:color="auto" w:fill="FFFFFF"/>
              </w:rPr>
            </w:r>
            <w:r w:rsidR="00000000">
              <w:rPr>
                <w:rFonts w:ascii="Verdana" w:eastAsia="Times New Roman" w:hAnsi="Verdana" w:cs="Arial"/>
                <w:color w:val="000000"/>
                <w:sz w:val="20"/>
                <w:szCs w:val="20"/>
                <w:shd w:val="clear" w:color="auto" w:fill="FFFFFF"/>
              </w:rPr>
              <w:fldChar w:fldCharType="separate"/>
            </w:r>
            <w:r w:rsidRPr="00096827">
              <w:rPr>
                <w:rFonts w:ascii="Verdana" w:eastAsia="Times New Roman" w:hAnsi="Verdana" w:cs="Arial"/>
                <w:color w:val="000000"/>
                <w:sz w:val="20"/>
                <w:szCs w:val="20"/>
                <w:shd w:val="clear" w:color="auto" w:fill="FFFFFF"/>
              </w:rPr>
              <w:fldChar w:fldCharType="end"/>
            </w:r>
            <w:bookmarkEnd w:id="5"/>
            <w:r w:rsidRPr="00096827">
              <w:rPr>
                <w:rFonts w:ascii="Verdana" w:eastAsia="Times New Roman" w:hAnsi="Verdana" w:cs="Arial"/>
                <w:color w:val="000000"/>
                <w:sz w:val="20"/>
                <w:szCs w:val="20"/>
                <w:shd w:val="clear" w:color="auto" w:fill="FFFFFF"/>
              </w:rPr>
              <w:t xml:space="preserve"> </w:t>
            </w:r>
            <w:r w:rsidRPr="00096827">
              <w:rPr>
                <w:rFonts w:ascii="Verdana" w:eastAsia="Times New Roman" w:hAnsi="Verdana" w:cs="Arial"/>
                <w:color w:val="000000"/>
                <w:sz w:val="20"/>
                <w:szCs w:val="20"/>
              </w:rPr>
              <w:t>No</w:t>
            </w:r>
            <w:r w:rsidRPr="00096827">
              <w:rPr>
                <w:rFonts w:ascii="Verdana" w:eastAsia="Times New Roman" w:hAnsi="Verdana" w:cs="Arial"/>
                <w:color w:val="000000"/>
                <w:spacing w:val="-1"/>
                <w:sz w:val="20"/>
                <w:szCs w:val="20"/>
              </w:rPr>
              <w:t>rm</w:t>
            </w:r>
            <w:r w:rsidRPr="00096827">
              <w:rPr>
                <w:rFonts w:ascii="Verdana" w:eastAsia="Times New Roman" w:hAnsi="Verdana" w:cs="Arial"/>
                <w:color w:val="000000"/>
                <w:sz w:val="20"/>
                <w:szCs w:val="20"/>
              </w:rPr>
              <w:t>al</w:t>
            </w:r>
            <w:r w:rsidRPr="00096827">
              <w:rPr>
                <w:rFonts w:ascii="Verdana" w:eastAsia="Times New Roman" w:hAnsi="Verdana" w:cs="Arial"/>
                <w:color w:val="000000"/>
                <w:sz w:val="20"/>
                <w:szCs w:val="20"/>
              </w:rPr>
              <w:tab/>
            </w:r>
            <w:bookmarkStart w:id="6" w:name="Casilla1"/>
            <w:r w:rsidRPr="00096827">
              <w:rPr>
                <w:rFonts w:ascii="Verdana" w:eastAsia="Times New Roman" w:hAnsi="Verdana" w:cs="Arial"/>
                <w:color w:val="000000"/>
                <w:sz w:val="20"/>
                <w:szCs w:val="20"/>
              </w:rPr>
              <w:fldChar w:fldCharType="begin">
                <w:ffData>
                  <w:name w:val="Casilla1"/>
                  <w:enabled/>
                  <w:calcOnExit w:val="0"/>
                  <w:checkBox>
                    <w:sizeAuto/>
                    <w:default w:val="1"/>
                  </w:checkBox>
                </w:ffData>
              </w:fldChar>
            </w:r>
            <w:r w:rsidRPr="00096827">
              <w:rPr>
                <w:rFonts w:ascii="Verdana" w:eastAsia="Times New Roman" w:hAnsi="Verdana" w:cs="Arial"/>
                <w:color w:val="000000"/>
                <w:sz w:val="20"/>
                <w:szCs w:val="20"/>
              </w:rPr>
              <w:instrText xml:space="preserve"> FORMCHECKBOX </w:instrText>
            </w:r>
            <w:r w:rsidR="00000000">
              <w:rPr>
                <w:rFonts w:ascii="Verdana" w:eastAsia="Times New Roman" w:hAnsi="Verdana" w:cs="Arial"/>
                <w:color w:val="000000"/>
                <w:sz w:val="20"/>
                <w:szCs w:val="20"/>
              </w:rPr>
            </w:r>
            <w:r w:rsidR="00000000">
              <w:rPr>
                <w:rFonts w:ascii="Verdana" w:eastAsia="Times New Roman" w:hAnsi="Verdana" w:cs="Arial"/>
                <w:color w:val="000000"/>
                <w:sz w:val="20"/>
                <w:szCs w:val="20"/>
              </w:rPr>
              <w:fldChar w:fldCharType="separate"/>
            </w:r>
            <w:r w:rsidRPr="00096827">
              <w:rPr>
                <w:rFonts w:ascii="Verdana" w:eastAsia="Times New Roman" w:hAnsi="Verdana" w:cs="Arial"/>
                <w:color w:val="000000"/>
                <w:sz w:val="20"/>
                <w:szCs w:val="20"/>
              </w:rPr>
              <w:fldChar w:fldCharType="end"/>
            </w:r>
            <w:bookmarkEnd w:id="6"/>
            <w:r w:rsidRPr="00096827">
              <w:rPr>
                <w:rFonts w:ascii="Verdana" w:eastAsia="Times New Roman" w:hAnsi="Verdana" w:cs="Arial"/>
                <w:color w:val="000000"/>
                <w:sz w:val="20"/>
                <w:szCs w:val="20"/>
              </w:rPr>
              <w:t xml:space="preserve"> Abreviada</w:t>
            </w:r>
          </w:p>
        </w:tc>
      </w:tr>
      <w:tr w:rsidR="0063584C" w:rsidRPr="00096827" w14:paraId="4735CACF" w14:textId="77777777" w:rsidTr="0070003B">
        <w:trPr>
          <w:trHeight w:hRule="exact" w:val="965"/>
        </w:trPr>
        <w:tc>
          <w:tcPr>
            <w:tcW w:w="9483" w:type="dxa"/>
            <w:gridSpan w:val="6"/>
            <w:tcBorders>
              <w:bottom w:val="single" w:sz="12" w:space="0" w:color="000000"/>
            </w:tcBorders>
            <w:shd w:val="clear" w:color="auto" w:fill="A6A6A6"/>
            <w:vAlign w:val="center"/>
          </w:tcPr>
          <w:p w14:paraId="2C72B27A"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Times New Roman"/>
                <w:color w:val="FFFFFF"/>
                <w:sz w:val="20"/>
                <w:szCs w:val="20"/>
              </w:rPr>
            </w:pPr>
            <w:r w:rsidRPr="00096827">
              <w:rPr>
                <w:rFonts w:ascii="Verdana" w:eastAsia="Times New Roman" w:hAnsi="Verdana" w:cs="Arial"/>
                <w:b/>
                <w:bCs/>
                <w:color w:val="FFFFFF"/>
                <w:sz w:val="20"/>
                <w:szCs w:val="20"/>
              </w:rPr>
              <w:t xml:space="preserve">OPORTUNIDAD DE </w:t>
            </w:r>
            <w:r w:rsidRPr="00096827">
              <w:rPr>
                <w:rFonts w:ascii="Verdana" w:eastAsia="Times New Roman" w:hAnsi="Verdana" w:cs="Arial"/>
                <w:b/>
                <w:bCs/>
                <w:color w:val="FFFFFF"/>
                <w:spacing w:val="1"/>
                <w:sz w:val="20"/>
                <w:szCs w:val="20"/>
              </w:rPr>
              <w:t>L</w:t>
            </w:r>
            <w:r w:rsidRPr="00096827">
              <w:rPr>
                <w:rFonts w:ascii="Verdana" w:eastAsia="Times New Roman" w:hAnsi="Verdana" w:cs="Arial"/>
                <w:b/>
                <w:bCs/>
                <w:color w:val="FFFFFF"/>
                <w:sz w:val="20"/>
                <w:szCs w:val="20"/>
              </w:rPr>
              <w:t>A PROPUESTA</w:t>
            </w:r>
          </w:p>
        </w:tc>
      </w:tr>
      <w:tr w:rsidR="0063584C" w:rsidRPr="00096827" w14:paraId="5FC19C29" w14:textId="77777777" w:rsidTr="0070003B">
        <w:trPr>
          <w:trHeight w:hRule="exact" w:val="2872"/>
        </w:trPr>
        <w:tc>
          <w:tcPr>
            <w:tcW w:w="2679" w:type="dxa"/>
            <w:gridSpan w:val="3"/>
            <w:shd w:val="clear" w:color="auto" w:fill="FFFFFF"/>
          </w:tcPr>
          <w:p w14:paraId="75B254E4"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Times New Roman"/>
                <w:color w:val="000000"/>
                <w:sz w:val="20"/>
                <w:szCs w:val="20"/>
              </w:rPr>
            </w:pPr>
            <w:r w:rsidRPr="00096827">
              <w:rPr>
                <w:rFonts w:ascii="Verdana" w:eastAsia="Times New Roman" w:hAnsi="Verdana" w:cs="Arial"/>
                <w:b/>
                <w:bCs/>
                <w:color w:val="000000"/>
                <w:sz w:val="20"/>
                <w:szCs w:val="20"/>
              </w:rPr>
              <w:t>Situación</w:t>
            </w:r>
            <w:r w:rsidRPr="00096827">
              <w:rPr>
                <w:rFonts w:ascii="Verdana" w:eastAsia="Times New Roman" w:hAnsi="Verdana" w:cs="Arial"/>
                <w:b/>
                <w:bCs/>
                <w:color w:val="000000"/>
                <w:spacing w:val="1"/>
                <w:sz w:val="20"/>
                <w:szCs w:val="20"/>
              </w:rPr>
              <w:t xml:space="preserve"> </w:t>
            </w:r>
            <w:r w:rsidRPr="00096827">
              <w:rPr>
                <w:rFonts w:ascii="Verdana" w:eastAsia="Times New Roman" w:hAnsi="Verdana" w:cs="Arial"/>
                <w:b/>
                <w:bCs/>
                <w:color w:val="000000"/>
                <w:sz w:val="20"/>
                <w:szCs w:val="20"/>
              </w:rPr>
              <w:t>que</w:t>
            </w:r>
            <w:r w:rsidRPr="00096827">
              <w:rPr>
                <w:rFonts w:ascii="Verdana" w:eastAsia="Times New Roman" w:hAnsi="Verdana" w:cs="Arial"/>
                <w:b/>
                <w:bCs/>
                <w:color w:val="000000"/>
                <w:spacing w:val="1"/>
                <w:sz w:val="20"/>
                <w:szCs w:val="20"/>
              </w:rPr>
              <w:t xml:space="preserve"> </w:t>
            </w:r>
            <w:r w:rsidRPr="00096827">
              <w:rPr>
                <w:rFonts w:ascii="Verdana" w:eastAsia="Times New Roman" w:hAnsi="Verdana" w:cs="Arial"/>
                <w:b/>
                <w:bCs/>
                <w:color w:val="000000"/>
                <w:sz w:val="20"/>
                <w:szCs w:val="20"/>
              </w:rPr>
              <w:t>se</w:t>
            </w:r>
            <w:r w:rsidRPr="00096827">
              <w:rPr>
                <w:rFonts w:ascii="Verdana" w:eastAsia="Times New Roman" w:hAnsi="Verdana" w:cs="Arial"/>
                <w:b/>
                <w:bCs/>
                <w:color w:val="000000"/>
                <w:spacing w:val="1"/>
                <w:sz w:val="20"/>
                <w:szCs w:val="20"/>
              </w:rPr>
              <w:t xml:space="preserve"> </w:t>
            </w:r>
            <w:r w:rsidRPr="00096827">
              <w:rPr>
                <w:rFonts w:ascii="Verdana" w:eastAsia="Times New Roman" w:hAnsi="Verdana" w:cs="Arial"/>
                <w:b/>
                <w:bCs/>
                <w:color w:val="000000"/>
                <w:sz w:val="20"/>
                <w:szCs w:val="20"/>
              </w:rPr>
              <w:t>regula</w:t>
            </w:r>
          </w:p>
        </w:tc>
        <w:tc>
          <w:tcPr>
            <w:tcW w:w="6804" w:type="dxa"/>
            <w:gridSpan w:val="3"/>
            <w:shd w:val="clear" w:color="auto" w:fill="FFFFFF"/>
          </w:tcPr>
          <w:p w14:paraId="28341E30" w14:textId="77777777" w:rsidR="000C48B1" w:rsidRPr="000C48B1" w:rsidRDefault="000C48B1" w:rsidP="000C48B1">
            <w:pPr>
              <w:widowControl w:val="0"/>
              <w:autoSpaceDE w:val="0"/>
              <w:autoSpaceDN w:val="0"/>
              <w:adjustRightInd w:val="0"/>
              <w:spacing w:after="0" w:line="360" w:lineRule="auto"/>
              <w:ind w:right="227"/>
              <w:jc w:val="both"/>
              <w:rPr>
                <w:rFonts w:ascii="Verdana" w:eastAsia="Calibri" w:hAnsi="Verdana" w:cs="Times New Roman"/>
                <w:sz w:val="20"/>
                <w:szCs w:val="20"/>
              </w:rPr>
            </w:pPr>
            <w:r w:rsidRPr="000C48B1">
              <w:rPr>
                <w:rFonts w:ascii="Verdana" w:eastAsia="Calibri" w:hAnsi="Verdana" w:cs="Times New Roman"/>
                <w:sz w:val="20"/>
                <w:szCs w:val="20"/>
              </w:rPr>
              <w:t>Adaptar la normativa relativa a los ceses de los funcionarios interinos al nuevo modelo organizativo y la nueva definición de los puestos de trabajo como consecuencia de la aprobación de Relaciones de Puestos de Trabajo para las OJM, OJ Y RC con código de puesto de trabajo.</w:t>
            </w:r>
          </w:p>
          <w:p w14:paraId="50675BA8" w14:textId="77777777" w:rsidR="000C48B1" w:rsidRPr="000C48B1" w:rsidRDefault="000C48B1" w:rsidP="0070003B">
            <w:pPr>
              <w:widowControl w:val="0"/>
              <w:autoSpaceDE w:val="0"/>
              <w:autoSpaceDN w:val="0"/>
              <w:adjustRightInd w:val="0"/>
              <w:spacing w:after="0" w:line="360" w:lineRule="auto"/>
              <w:ind w:right="227"/>
              <w:jc w:val="both"/>
              <w:rPr>
                <w:rFonts w:ascii="Trebuchet MS" w:eastAsia="Times New Roman" w:hAnsi="Trebuchet MS" w:cs="Times New Roman"/>
                <w:color w:val="000000"/>
                <w:sz w:val="18"/>
                <w:szCs w:val="20"/>
                <w:lang w:eastAsia="es-ES"/>
              </w:rPr>
            </w:pPr>
          </w:p>
          <w:p w14:paraId="30614286" w14:textId="77777777" w:rsidR="0063584C" w:rsidRPr="00096827" w:rsidRDefault="0063584C" w:rsidP="00617FE5">
            <w:pPr>
              <w:spacing w:before="120" w:after="120" w:line="360" w:lineRule="auto"/>
              <w:jc w:val="both"/>
              <w:rPr>
                <w:rFonts w:ascii="Trebuchet MS" w:eastAsia="Times New Roman" w:hAnsi="Trebuchet MS" w:cs="Times New Roman"/>
                <w:color w:val="000000"/>
                <w:sz w:val="18"/>
                <w:szCs w:val="20"/>
                <w:lang w:val="es-ES_tradnl" w:eastAsia="es-ES"/>
              </w:rPr>
            </w:pPr>
          </w:p>
          <w:p w14:paraId="1E41DCD5" w14:textId="77777777" w:rsidR="0063584C" w:rsidRPr="00096827" w:rsidRDefault="0063584C" w:rsidP="00617FE5">
            <w:pPr>
              <w:tabs>
                <w:tab w:val="left" w:pos="5064"/>
              </w:tabs>
              <w:spacing w:before="120" w:after="120" w:line="360" w:lineRule="auto"/>
              <w:jc w:val="both"/>
              <w:rPr>
                <w:rFonts w:ascii="Trebuchet MS" w:eastAsia="Times New Roman" w:hAnsi="Trebuchet MS" w:cs="Times New Roman"/>
                <w:color w:val="000000"/>
                <w:sz w:val="18"/>
                <w:szCs w:val="20"/>
                <w:lang w:val="es-ES_tradnl" w:eastAsia="es-ES"/>
              </w:rPr>
            </w:pPr>
            <w:r w:rsidRPr="00096827">
              <w:rPr>
                <w:rFonts w:ascii="Trebuchet MS" w:eastAsia="Times New Roman" w:hAnsi="Trebuchet MS" w:cs="Times New Roman"/>
                <w:color w:val="000000"/>
                <w:sz w:val="18"/>
                <w:szCs w:val="20"/>
                <w:lang w:val="es-ES_tradnl" w:eastAsia="es-ES"/>
              </w:rPr>
              <w:tab/>
            </w:r>
          </w:p>
        </w:tc>
      </w:tr>
      <w:tr w:rsidR="0063584C" w:rsidRPr="00096827" w14:paraId="78371EBA" w14:textId="77777777" w:rsidTr="0070003B">
        <w:trPr>
          <w:trHeight w:hRule="exact" w:val="13355"/>
        </w:trPr>
        <w:tc>
          <w:tcPr>
            <w:tcW w:w="2679" w:type="dxa"/>
            <w:gridSpan w:val="3"/>
            <w:shd w:val="clear" w:color="auto" w:fill="FFFFFF"/>
          </w:tcPr>
          <w:p w14:paraId="2190C75C"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lastRenderedPageBreak/>
              <w:t>Objetivos que se</w:t>
            </w:r>
          </w:p>
          <w:p w14:paraId="4A3CCE91" w14:textId="77777777" w:rsidR="0063584C" w:rsidRPr="00096827" w:rsidRDefault="0063584C" w:rsidP="00617FE5">
            <w:pPr>
              <w:widowControl w:val="0"/>
              <w:autoSpaceDE w:val="0"/>
              <w:autoSpaceDN w:val="0"/>
              <w:adjustRightInd w:val="0"/>
              <w:spacing w:before="120" w:after="0" w:line="360" w:lineRule="auto"/>
              <w:ind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 xml:space="preserve"> persiguen</w:t>
            </w:r>
          </w:p>
        </w:tc>
        <w:tc>
          <w:tcPr>
            <w:tcW w:w="6804" w:type="dxa"/>
            <w:gridSpan w:val="3"/>
            <w:shd w:val="clear" w:color="auto" w:fill="FFFFFF"/>
          </w:tcPr>
          <w:p w14:paraId="6251EC71" w14:textId="2AB1CB8B" w:rsidR="000D329C" w:rsidRDefault="0005113E" w:rsidP="000D329C">
            <w:pPr>
              <w:spacing w:before="120" w:after="120" w:line="360" w:lineRule="auto"/>
              <w:ind w:right="227"/>
              <w:jc w:val="both"/>
              <w:rPr>
                <w:rFonts w:ascii="Verdana" w:eastAsia="Times New Roman" w:hAnsi="Verdana" w:cs="Times New Roman"/>
                <w:sz w:val="20"/>
                <w:szCs w:val="20"/>
                <w:lang w:val="es-ES_tradnl"/>
              </w:rPr>
            </w:pPr>
            <w:r w:rsidRPr="0070003B">
              <w:rPr>
                <w:rFonts w:ascii="Verdana" w:eastAsia="Times New Roman" w:hAnsi="Verdana" w:cs="Times New Roman"/>
                <w:sz w:val="20"/>
                <w:szCs w:val="20"/>
              </w:rPr>
              <w:t xml:space="preserve"> </w:t>
            </w:r>
            <w:r w:rsidR="000D329C">
              <w:rPr>
                <w:rFonts w:ascii="Verdana" w:eastAsia="Times New Roman" w:hAnsi="Verdana" w:cs="Times New Roman"/>
                <w:sz w:val="20"/>
                <w:szCs w:val="20"/>
              </w:rPr>
              <w:t>Terminar con la indeterminación e inseguridad que produce la norma que se pretende modificar en su regulación actual, en virtud de la cual</w:t>
            </w:r>
            <w:r w:rsidR="00216FFA">
              <w:rPr>
                <w:rFonts w:ascii="Verdana" w:eastAsia="Times New Roman" w:hAnsi="Verdana" w:cs="Times New Roman"/>
                <w:sz w:val="20"/>
                <w:szCs w:val="20"/>
              </w:rPr>
              <w:t xml:space="preserve">, </w:t>
            </w:r>
            <w:r w:rsidR="00770EEB">
              <w:rPr>
                <w:rFonts w:ascii="Verdana" w:eastAsia="Times New Roman" w:hAnsi="Verdana" w:cs="Times New Roman"/>
                <w:sz w:val="20"/>
                <w:szCs w:val="20"/>
                <w:lang w:val="es-ES_tradnl"/>
              </w:rPr>
              <w:t>los funcionarios o funcionarias interinas deb</w:t>
            </w:r>
            <w:r w:rsidR="00216FFA">
              <w:rPr>
                <w:rFonts w:ascii="Verdana" w:eastAsia="Times New Roman" w:hAnsi="Verdana" w:cs="Times New Roman"/>
                <w:sz w:val="20"/>
                <w:szCs w:val="20"/>
                <w:lang w:val="es-ES_tradnl"/>
              </w:rPr>
              <w:t>e</w:t>
            </w:r>
            <w:r w:rsidR="00770EEB">
              <w:rPr>
                <w:rFonts w:ascii="Verdana" w:eastAsia="Times New Roman" w:hAnsi="Verdana" w:cs="Times New Roman"/>
                <w:sz w:val="20"/>
                <w:szCs w:val="20"/>
                <w:lang w:val="es-ES_tradnl"/>
              </w:rPr>
              <w:t>n cesar</w:t>
            </w:r>
            <w:r w:rsidR="000D329C" w:rsidRPr="000D329C">
              <w:rPr>
                <w:rFonts w:ascii="Verdana" w:eastAsia="Times New Roman" w:hAnsi="Verdana" w:cs="Times New Roman"/>
                <w:sz w:val="20"/>
                <w:szCs w:val="20"/>
                <w:lang w:val="es-ES_tradnl"/>
              </w:rPr>
              <w:t xml:space="preserve"> como consecuencia de que </w:t>
            </w:r>
            <w:r w:rsidR="00216FFA">
              <w:rPr>
                <w:rFonts w:ascii="Verdana" w:eastAsia="Times New Roman" w:hAnsi="Verdana" w:cs="Times New Roman"/>
                <w:sz w:val="20"/>
                <w:szCs w:val="20"/>
                <w:lang w:val="es-ES_tradnl"/>
              </w:rPr>
              <w:t>el puesto</w:t>
            </w:r>
            <w:r w:rsidR="000D329C" w:rsidRPr="000D329C">
              <w:rPr>
                <w:rFonts w:ascii="Verdana" w:eastAsia="Times New Roman" w:hAnsi="Verdana" w:cs="Times New Roman"/>
                <w:sz w:val="20"/>
                <w:szCs w:val="20"/>
                <w:lang w:val="es-ES_tradnl"/>
              </w:rPr>
              <w:t xml:space="preserve"> que ocupaban temporalmente se ocupe por</w:t>
            </w:r>
            <w:r w:rsidR="00770EEB">
              <w:rPr>
                <w:rFonts w:ascii="Verdana" w:eastAsia="Times New Roman" w:hAnsi="Verdana" w:cs="Times New Roman"/>
                <w:sz w:val="20"/>
                <w:szCs w:val="20"/>
                <w:lang w:val="es-ES_tradnl"/>
              </w:rPr>
              <w:t xml:space="preserve"> personal</w:t>
            </w:r>
            <w:r w:rsidR="000D329C" w:rsidRPr="000D329C">
              <w:rPr>
                <w:rFonts w:ascii="Verdana" w:eastAsia="Times New Roman" w:hAnsi="Verdana" w:cs="Times New Roman"/>
                <w:sz w:val="20"/>
                <w:szCs w:val="20"/>
                <w:lang w:val="es-ES_tradnl"/>
              </w:rPr>
              <w:t xml:space="preserve"> de carrera, en el supuesto de</w:t>
            </w:r>
            <w:r w:rsidR="000D329C" w:rsidRPr="000D329C">
              <w:rPr>
                <w:rFonts w:eastAsia="Times New Roman" w:cstheme="minorHAnsi"/>
                <w:lang w:val="es-ES_tradnl" w:eastAsia="es-ES"/>
                <w14:ligatures w14:val="none"/>
              </w:rPr>
              <w:t xml:space="preserve"> </w:t>
            </w:r>
            <w:r w:rsidR="000D329C" w:rsidRPr="000D329C">
              <w:rPr>
                <w:rFonts w:ascii="Verdana" w:eastAsia="Times New Roman" w:hAnsi="Verdana" w:cs="Times New Roman"/>
                <w:sz w:val="20"/>
                <w:szCs w:val="20"/>
                <w:lang w:val="es-ES_tradnl"/>
              </w:rPr>
              <w:t xml:space="preserve">que en la oficina o servicio hubiese más de un funcionario interino deberá cesar el que haya sido nombrado más recientemente. </w:t>
            </w:r>
            <w:r w:rsidR="00770EEB">
              <w:rPr>
                <w:rFonts w:ascii="Verdana" w:eastAsia="Times New Roman" w:hAnsi="Verdana" w:cs="Times New Roman"/>
                <w:sz w:val="20"/>
                <w:szCs w:val="20"/>
                <w:lang w:val="es-ES_tradnl"/>
              </w:rPr>
              <w:t>Dicha norma,</w:t>
            </w:r>
            <w:r w:rsidR="000D329C" w:rsidRPr="000D329C">
              <w:rPr>
                <w:rFonts w:ascii="Verdana" w:eastAsia="Times New Roman" w:hAnsi="Verdana" w:cs="Times New Roman"/>
                <w:sz w:val="20"/>
                <w:szCs w:val="20"/>
                <w:lang w:val="es-ES_tradnl"/>
              </w:rPr>
              <w:t xml:space="preserve"> favorece la prolongación de las situaciones de interinidad y con ella el índice de temporalidad en la Administración de Justicia, lo cual es contrario a la Directiva 1999/70 CE del Consejo, de 28 de junio de 1999. </w:t>
            </w:r>
          </w:p>
          <w:p w14:paraId="00B5968D" w14:textId="20246D26" w:rsidR="00770EEB" w:rsidRDefault="00770EEB" w:rsidP="00770EEB">
            <w:pPr>
              <w:spacing w:before="120" w:after="120" w:line="360" w:lineRule="auto"/>
              <w:ind w:right="227"/>
              <w:jc w:val="both"/>
              <w:rPr>
                <w:rFonts w:ascii="Verdana" w:eastAsia="Times New Roman" w:hAnsi="Verdana" w:cs="Times New Roman"/>
                <w:sz w:val="20"/>
                <w:szCs w:val="20"/>
              </w:rPr>
            </w:pPr>
            <w:r>
              <w:rPr>
                <w:rFonts w:ascii="Verdana" w:eastAsia="Times New Roman" w:hAnsi="Verdana" w:cs="Times New Roman"/>
                <w:sz w:val="20"/>
                <w:szCs w:val="20"/>
                <w:lang w:val="es-ES_tradnl"/>
              </w:rPr>
              <w:t xml:space="preserve">Como </w:t>
            </w:r>
            <w:r w:rsidRPr="00770EEB">
              <w:rPr>
                <w:rFonts w:ascii="Verdana" w:eastAsia="Times New Roman" w:hAnsi="Verdana" w:cs="Times New Roman"/>
                <w:sz w:val="20"/>
                <w:szCs w:val="20"/>
                <w:lang w:val="es-ES_tradnl"/>
              </w:rPr>
              <w:t xml:space="preserve">consecuencia de la entrada en vigor de la </w:t>
            </w:r>
            <w:r w:rsidRPr="00770EEB">
              <w:rPr>
                <w:rFonts w:ascii="Verdana" w:eastAsia="Times New Roman" w:hAnsi="Verdana" w:cs="Times New Roman"/>
                <w:sz w:val="20"/>
                <w:szCs w:val="20"/>
              </w:rPr>
              <w:t xml:space="preserve">Ley Orgánica 1/2025, de 2 de enero, de medidas en materia de eficiencia del Servicio Público de Justicia se va a proceder a la implantación del nuevo modelo organizativo mediane la creación de los Tribunales de Instancia que obliga a diseñar nuevas </w:t>
            </w:r>
            <w:proofErr w:type="spellStart"/>
            <w:r w:rsidRPr="00770EEB">
              <w:rPr>
                <w:rFonts w:ascii="Verdana" w:eastAsia="Times New Roman" w:hAnsi="Verdana" w:cs="Times New Roman"/>
                <w:sz w:val="20"/>
                <w:szCs w:val="20"/>
              </w:rPr>
              <w:t>RPTs</w:t>
            </w:r>
            <w:proofErr w:type="spellEnd"/>
            <w:r w:rsidRPr="00770EEB">
              <w:rPr>
                <w:rFonts w:ascii="Verdana" w:eastAsia="Times New Roman" w:hAnsi="Verdana" w:cs="Times New Roman"/>
                <w:sz w:val="20"/>
                <w:szCs w:val="20"/>
              </w:rPr>
              <w:t xml:space="preserve"> en todo el Estado y a ejecutar posteriormente los procesos de acoplamiento en tres etapas del personal al servicio de la Administración de Justicia.</w:t>
            </w:r>
          </w:p>
          <w:p w14:paraId="002CF81F" w14:textId="67FC9960" w:rsidR="00770EEB" w:rsidRPr="00770EEB" w:rsidRDefault="00770EEB" w:rsidP="00770EEB">
            <w:pPr>
              <w:spacing w:before="120" w:after="120" w:line="360" w:lineRule="auto"/>
              <w:ind w:right="227"/>
              <w:jc w:val="both"/>
              <w:rPr>
                <w:rFonts w:ascii="Verdana" w:eastAsia="Times New Roman" w:hAnsi="Verdana" w:cs="Times New Roman"/>
                <w:sz w:val="20"/>
                <w:szCs w:val="20"/>
                <w:lang w:val="es-ES_tradnl"/>
              </w:rPr>
            </w:pPr>
            <w:r>
              <w:rPr>
                <w:rFonts w:ascii="Verdana" w:eastAsia="Times New Roman" w:hAnsi="Verdana" w:cs="Times New Roman"/>
                <w:sz w:val="20"/>
                <w:szCs w:val="20"/>
              </w:rPr>
              <w:t xml:space="preserve">Uno de los efectos que este proceso de acoplamiento va a producir es que </w:t>
            </w:r>
            <w:r w:rsidRPr="00770EEB">
              <w:rPr>
                <w:rFonts w:ascii="Verdana" w:eastAsia="Times New Roman" w:hAnsi="Verdana" w:cs="Times New Roman"/>
                <w:sz w:val="20"/>
                <w:szCs w:val="20"/>
                <w:lang w:val="es-ES_tradnl"/>
              </w:rPr>
              <w:t xml:space="preserve">todos los puestos de trabajo afectados por el nuevo modelo organizativo serán identificados </w:t>
            </w:r>
            <w:r>
              <w:rPr>
                <w:rFonts w:ascii="Verdana" w:eastAsia="Times New Roman" w:hAnsi="Verdana" w:cs="Times New Roman"/>
                <w:sz w:val="20"/>
                <w:szCs w:val="20"/>
                <w:lang w:val="es-ES_tradnl"/>
              </w:rPr>
              <w:t xml:space="preserve">indubitadamente </w:t>
            </w:r>
            <w:r w:rsidRPr="00770EEB">
              <w:rPr>
                <w:rFonts w:ascii="Verdana" w:eastAsia="Times New Roman" w:hAnsi="Verdana" w:cs="Times New Roman"/>
                <w:sz w:val="20"/>
                <w:szCs w:val="20"/>
                <w:lang w:val="es-ES_tradnl"/>
              </w:rPr>
              <w:t xml:space="preserve">con un código de puesto,  por lo cual allí donde exista dicho código  no podrá seguir aplicándose el precepto de la Orden que se pretende modificar, que establece que cuando haya más de un interino y se incorpore un titular cesará el interino nombrado más recientemente que hubiera sido nombrado , porque quién debe cesar es el interino que ocupe la plaza </w:t>
            </w:r>
            <w:r>
              <w:rPr>
                <w:rFonts w:ascii="Verdana" w:eastAsia="Times New Roman" w:hAnsi="Verdana" w:cs="Times New Roman"/>
                <w:sz w:val="20"/>
                <w:szCs w:val="20"/>
                <w:lang w:val="es-ES_tradnl"/>
              </w:rPr>
              <w:t xml:space="preserve">identificada con su correspondiente código, </w:t>
            </w:r>
            <w:r w:rsidRPr="00770EEB">
              <w:rPr>
                <w:rFonts w:ascii="Verdana" w:eastAsia="Times New Roman" w:hAnsi="Verdana" w:cs="Times New Roman"/>
                <w:sz w:val="20"/>
                <w:szCs w:val="20"/>
                <w:lang w:val="es-ES_tradnl"/>
              </w:rPr>
              <w:t xml:space="preserve">a la que se va a incorporar el personal de carrera. </w:t>
            </w:r>
          </w:p>
          <w:p w14:paraId="2426B02B" w14:textId="58376400" w:rsidR="00770EEB" w:rsidRPr="00770EEB" w:rsidRDefault="00770EEB" w:rsidP="00770EEB">
            <w:pPr>
              <w:spacing w:before="120" w:after="120" w:line="360" w:lineRule="auto"/>
              <w:ind w:right="227"/>
              <w:jc w:val="both"/>
              <w:rPr>
                <w:rFonts w:ascii="Verdana" w:eastAsia="Times New Roman" w:hAnsi="Verdana" w:cs="Times New Roman"/>
                <w:sz w:val="20"/>
                <w:szCs w:val="20"/>
                <w:lang w:val="es-ES_tradnl"/>
              </w:rPr>
            </w:pPr>
          </w:p>
          <w:p w14:paraId="2D932315" w14:textId="77777777" w:rsidR="00770EEB" w:rsidRPr="00770EEB" w:rsidRDefault="00770EEB" w:rsidP="000D329C">
            <w:pPr>
              <w:spacing w:before="120" w:after="120" w:line="360" w:lineRule="auto"/>
              <w:ind w:right="227"/>
              <w:jc w:val="both"/>
              <w:rPr>
                <w:rFonts w:ascii="Verdana" w:eastAsia="Times New Roman" w:hAnsi="Verdana" w:cs="Times New Roman"/>
                <w:sz w:val="20"/>
                <w:szCs w:val="20"/>
              </w:rPr>
            </w:pPr>
          </w:p>
          <w:p w14:paraId="4DB11823" w14:textId="77777777" w:rsidR="00770EEB" w:rsidRPr="000D329C" w:rsidRDefault="00770EEB" w:rsidP="000D329C">
            <w:pPr>
              <w:spacing w:before="120" w:after="120" w:line="360" w:lineRule="auto"/>
              <w:ind w:right="227"/>
              <w:jc w:val="both"/>
              <w:rPr>
                <w:rFonts w:ascii="Verdana" w:eastAsia="Times New Roman" w:hAnsi="Verdana" w:cs="Times New Roman"/>
                <w:sz w:val="20"/>
                <w:szCs w:val="20"/>
                <w:lang w:val="es-ES_tradnl"/>
              </w:rPr>
            </w:pPr>
          </w:p>
          <w:p w14:paraId="19CD68B8" w14:textId="7BE89DB0" w:rsidR="006C7892" w:rsidRPr="000D329C" w:rsidRDefault="006C7892" w:rsidP="0070003B">
            <w:pPr>
              <w:spacing w:before="120" w:after="120" w:line="360" w:lineRule="auto"/>
              <w:ind w:right="227"/>
              <w:jc w:val="both"/>
              <w:rPr>
                <w:rFonts w:ascii="Verdana" w:eastAsia="Times New Roman" w:hAnsi="Verdana" w:cs="Times New Roman"/>
                <w:sz w:val="20"/>
                <w:szCs w:val="20"/>
                <w:lang w:val="es-ES_tradnl"/>
              </w:rPr>
            </w:pPr>
          </w:p>
        </w:tc>
      </w:tr>
      <w:tr w:rsidR="0063584C" w:rsidRPr="00096827" w14:paraId="05A54566" w14:textId="77777777" w:rsidTr="0070003B">
        <w:trPr>
          <w:trHeight w:hRule="exact" w:val="13222"/>
        </w:trPr>
        <w:tc>
          <w:tcPr>
            <w:tcW w:w="2679" w:type="dxa"/>
            <w:gridSpan w:val="3"/>
            <w:shd w:val="clear" w:color="auto" w:fill="FFFFFF"/>
          </w:tcPr>
          <w:p w14:paraId="75A2B523"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lastRenderedPageBreak/>
              <w:t>Principales alternativas consideradas</w:t>
            </w:r>
          </w:p>
        </w:tc>
        <w:tc>
          <w:tcPr>
            <w:tcW w:w="6804" w:type="dxa"/>
            <w:gridSpan w:val="3"/>
            <w:shd w:val="clear" w:color="auto" w:fill="FFFFFF"/>
          </w:tcPr>
          <w:p w14:paraId="6E84B663" w14:textId="324779F5" w:rsidR="00671A4D" w:rsidRPr="00671A4D" w:rsidRDefault="00471839" w:rsidP="00671A4D">
            <w:pPr>
              <w:widowControl w:val="0"/>
              <w:autoSpaceDE w:val="0"/>
              <w:autoSpaceDN w:val="0"/>
              <w:adjustRightInd w:val="0"/>
              <w:spacing w:before="120" w:line="360" w:lineRule="auto"/>
              <w:ind w:right="142"/>
              <w:jc w:val="both"/>
              <w:rPr>
                <w:rFonts w:ascii="Verdana" w:eastAsia="Times New Roman" w:hAnsi="Verdana" w:cs="Arial"/>
                <w:sz w:val="20"/>
                <w:szCs w:val="20"/>
              </w:rPr>
            </w:pPr>
            <w:bookmarkStart w:id="7" w:name="_Hlk146543460"/>
            <w:r w:rsidRPr="00471839">
              <w:rPr>
                <w:rFonts w:ascii="Verdana" w:eastAsia="Times New Roman" w:hAnsi="Verdana" w:cs="Arial"/>
                <w:sz w:val="20"/>
                <w:szCs w:val="20"/>
              </w:rPr>
              <w:t xml:space="preserve">No se presentan otras alternativas al proyecto </w:t>
            </w:r>
            <w:r w:rsidR="00671A4D">
              <w:rPr>
                <w:rFonts w:ascii="Verdana" w:eastAsia="Times New Roman" w:hAnsi="Verdana" w:cs="Arial"/>
                <w:sz w:val="20"/>
                <w:szCs w:val="20"/>
              </w:rPr>
              <w:t xml:space="preserve">de Modificación de la Orden </w:t>
            </w:r>
            <w:r w:rsidR="00671A4D" w:rsidRPr="00671A4D">
              <w:rPr>
                <w:rFonts w:ascii="Verdana" w:eastAsia="Times New Roman" w:hAnsi="Verdana" w:cs="Arial"/>
                <w:sz w:val="20"/>
                <w:szCs w:val="20"/>
              </w:rPr>
              <w:t>JUS/2296/2005, de 12 de julio, sobre selección, propuesta y nombramiento de funcionarios interinos para cubrir puestos de funcionarios de los cuerpos al servicio de la Administración de Justicia.</w:t>
            </w:r>
          </w:p>
          <w:p w14:paraId="2A520F8E" w14:textId="7455EB19" w:rsidR="0063584C" w:rsidRPr="001E0F3C" w:rsidRDefault="0063584C" w:rsidP="00770EEB">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bookmarkEnd w:id="7"/>
          <w:p w14:paraId="6FEAB948"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0EEF82BB"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0F33F705"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0323B135"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62CFF7CD"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5EB72C9C"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48242F61"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6C316DC6"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3134846A"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18CC5E6B" w14:textId="77777777" w:rsidR="00874D0A" w:rsidRPr="001E0F3C" w:rsidRDefault="00874D0A"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p w14:paraId="292B854B" w14:textId="77777777" w:rsidR="0063584C" w:rsidRPr="001E0F3C"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Arial"/>
                <w:sz w:val="20"/>
                <w:szCs w:val="20"/>
              </w:rPr>
            </w:pPr>
          </w:p>
        </w:tc>
      </w:tr>
      <w:tr w:rsidR="0063584C" w:rsidRPr="00096827" w14:paraId="079C00C6" w14:textId="77777777" w:rsidTr="0070003B">
        <w:trPr>
          <w:trHeight w:hRule="exact" w:val="826"/>
        </w:trPr>
        <w:tc>
          <w:tcPr>
            <w:tcW w:w="9483" w:type="dxa"/>
            <w:gridSpan w:val="6"/>
            <w:tcBorders>
              <w:bottom w:val="single" w:sz="12" w:space="0" w:color="000000"/>
            </w:tcBorders>
            <w:shd w:val="clear" w:color="auto" w:fill="A6A6A6"/>
            <w:vAlign w:val="center"/>
          </w:tcPr>
          <w:p w14:paraId="3064018B" w14:textId="77777777" w:rsidR="0063584C" w:rsidRPr="001E0F3C" w:rsidRDefault="0063584C" w:rsidP="00617FE5">
            <w:pPr>
              <w:widowControl w:val="0"/>
              <w:autoSpaceDE w:val="0"/>
              <w:autoSpaceDN w:val="0"/>
              <w:adjustRightInd w:val="0"/>
              <w:spacing w:before="120" w:after="0" w:line="360" w:lineRule="auto"/>
              <w:ind w:left="91" w:right="-20"/>
              <w:rPr>
                <w:rFonts w:ascii="Verdana" w:eastAsia="Times New Roman" w:hAnsi="Verdana" w:cs="Arial"/>
                <w:sz w:val="20"/>
                <w:szCs w:val="20"/>
              </w:rPr>
            </w:pPr>
            <w:r w:rsidRPr="001E0F3C">
              <w:rPr>
                <w:rFonts w:ascii="Verdana" w:eastAsia="Times New Roman" w:hAnsi="Verdana" w:cs="Arial"/>
                <w:b/>
                <w:bCs/>
                <w:sz w:val="20"/>
                <w:szCs w:val="20"/>
              </w:rPr>
              <w:lastRenderedPageBreak/>
              <w:t>CONTENIDO Y ANÁLISIS JURÍDICO</w:t>
            </w:r>
          </w:p>
        </w:tc>
      </w:tr>
      <w:tr w:rsidR="0063584C" w:rsidRPr="00096827" w14:paraId="73EE77B0" w14:textId="77777777" w:rsidTr="0070003B">
        <w:trPr>
          <w:trHeight w:hRule="exact" w:val="689"/>
        </w:trPr>
        <w:tc>
          <w:tcPr>
            <w:tcW w:w="2394" w:type="dxa"/>
            <w:shd w:val="clear" w:color="auto" w:fill="FFFFFF"/>
          </w:tcPr>
          <w:p w14:paraId="06D66627"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Times New Roman"/>
                <w:color w:val="000000"/>
                <w:sz w:val="20"/>
                <w:szCs w:val="20"/>
              </w:rPr>
            </w:pPr>
            <w:r w:rsidRPr="00096827">
              <w:rPr>
                <w:rFonts w:ascii="Verdana" w:eastAsia="Times New Roman" w:hAnsi="Verdana" w:cs="Arial"/>
                <w:b/>
                <w:bCs/>
                <w:color w:val="000000"/>
                <w:sz w:val="20"/>
                <w:szCs w:val="20"/>
              </w:rPr>
              <w:t>Tipo de norma</w:t>
            </w:r>
          </w:p>
        </w:tc>
        <w:tc>
          <w:tcPr>
            <w:tcW w:w="7089" w:type="dxa"/>
            <w:gridSpan w:val="5"/>
            <w:shd w:val="clear" w:color="auto" w:fill="FFFFFF"/>
          </w:tcPr>
          <w:p w14:paraId="6A199ED0" w14:textId="732E2129" w:rsidR="0063584C" w:rsidRPr="001E0F3C" w:rsidRDefault="00F72DCD" w:rsidP="00617FE5">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Pr>
                <w:rFonts w:ascii="Verdana" w:eastAsia="Times New Roman" w:hAnsi="Verdana" w:cs="Times New Roman"/>
                <w:sz w:val="20"/>
                <w:szCs w:val="20"/>
              </w:rPr>
              <w:t>Orden Ministerial</w:t>
            </w:r>
          </w:p>
        </w:tc>
      </w:tr>
      <w:tr w:rsidR="0063584C" w:rsidRPr="00096827" w14:paraId="17273B16" w14:textId="77777777" w:rsidTr="0070003B">
        <w:trPr>
          <w:trHeight w:hRule="exact" w:val="1223"/>
        </w:trPr>
        <w:tc>
          <w:tcPr>
            <w:tcW w:w="2394" w:type="dxa"/>
            <w:shd w:val="clear" w:color="auto" w:fill="FFFFFF"/>
          </w:tcPr>
          <w:p w14:paraId="1E728AE2"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Estructura de la Norma</w:t>
            </w:r>
          </w:p>
        </w:tc>
        <w:tc>
          <w:tcPr>
            <w:tcW w:w="7089" w:type="dxa"/>
            <w:gridSpan w:val="5"/>
            <w:shd w:val="clear" w:color="auto" w:fill="FFFFFF"/>
          </w:tcPr>
          <w:p w14:paraId="548BED9B" w14:textId="2C4FDBA5" w:rsidR="0063584C" w:rsidRPr="001E0F3C" w:rsidRDefault="00471839" w:rsidP="00471839">
            <w:pPr>
              <w:widowControl w:val="0"/>
              <w:tabs>
                <w:tab w:val="left" w:pos="0"/>
                <w:tab w:val="left" w:pos="547"/>
              </w:tabs>
              <w:autoSpaceDE w:val="0"/>
              <w:autoSpaceDN w:val="0"/>
              <w:adjustRightInd w:val="0"/>
              <w:spacing w:before="120" w:after="0" w:line="360" w:lineRule="auto"/>
              <w:ind w:left="122" w:right="142"/>
              <w:jc w:val="both"/>
              <w:rPr>
                <w:rFonts w:ascii="Verdana" w:eastAsia="Times New Roman" w:hAnsi="Verdana" w:cs="Times New Roman"/>
                <w:sz w:val="20"/>
                <w:szCs w:val="20"/>
              </w:rPr>
            </w:pPr>
            <w:bookmarkStart w:id="8" w:name="_Hlk145580211"/>
            <w:r w:rsidRPr="00471839">
              <w:rPr>
                <w:rFonts w:ascii="Verdana" w:eastAsia="Times New Roman" w:hAnsi="Verdana" w:cs="Times New Roman"/>
                <w:sz w:val="20"/>
                <w:szCs w:val="20"/>
              </w:rPr>
              <w:t>La norma se estructura en un preámbulo en el que se expone su justificación</w:t>
            </w:r>
            <w:r w:rsidR="00F72DCD">
              <w:rPr>
                <w:rFonts w:ascii="Verdana" w:eastAsia="Times New Roman" w:hAnsi="Verdana" w:cs="Times New Roman"/>
                <w:sz w:val="20"/>
                <w:szCs w:val="20"/>
              </w:rPr>
              <w:t xml:space="preserve"> y</w:t>
            </w:r>
            <w:r w:rsidRPr="00471839">
              <w:rPr>
                <w:rFonts w:ascii="Verdana" w:eastAsia="Times New Roman" w:hAnsi="Verdana" w:cs="Times New Roman"/>
                <w:sz w:val="20"/>
                <w:szCs w:val="20"/>
              </w:rPr>
              <w:t xml:space="preserve"> un artículo único</w:t>
            </w:r>
            <w:bookmarkEnd w:id="8"/>
            <w:r w:rsidR="00F72DCD">
              <w:rPr>
                <w:rFonts w:ascii="Verdana" w:eastAsia="Times New Roman" w:hAnsi="Verdana" w:cs="Times New Roman"/>
                <w:sz w:val="20"/>
                <w:szCs w:val="20"/>
              </w:rPr>
              <w:t>.</w:t>
            </w:r>
          </w:p>
        </w:tc>
      </w:tr>
      <w:tr w:rsidR="00471839" w:rsidRPr="00096827" w14:paraId="3409094F" w14:textId="77777777" w:rsidTr="0070003B">
        <w:trPr>
          <w:trHeight w:val="2827"/>
        </w:trPr>
        <w:tc>
          <w:tcPr>
            <w:tcW w:w="2394" w:type="dxa"/>
            <w:shd w:val="clear" w:color="auto" w:fill="FFFFFF"/>
          </w:tcPr>
          <w:p w14:paraId="5712846C" w14:textId="042B7EEE" w:rsidR="00471839" w:rsidRPr="00096827" w:rsidRDefault="00471839" w:rsidP="00573016">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Informes solicitados</w:t>
            </w:r>
            <w:r>
              <w:rPr>
                <w:rFonts w:ascii="Verdana" w:eastAsia="Times New Roman" w:hAnsi="Verdana" w:cs="Arial"/>
                <w:b/>
                <w:bCs/>
                <w:color w:val="000000"/>
                <w:sz w:val="20"/>
                <w:szCs w:val="20"/>
              </w:rPr>
              <w:t>.</w:t>
            </w:r>
          </w:p>
        </w:tc>
        <w:tc>
          <w:tcPr>
            <w:tcW w:w="7089" w:type="dxa"/>
            <w:gridSpan w:val="5"/>
            <w:shd w:val="clear" w:color="auto" w:fill="FFFFFF"/>
          </w:tcPr>
          <w:p w14:paraId="2A506C0A" w14:textId="77777777" w:rsidR="00471839" w:rsidRPr="00C4166D" w:rsidRDefault="00471839" w:rsidP="00471839">
            <w:pPr>
              <w:spacing w:before="120" w:line="360" w:lineRule="auto"/>
              <w:ind w:left="132"/>
              <w:jc w:val="both"/>
              <w:rPr>
                <w:rFonts w:ascii="Verdana" w:hAnsi="Verdana" w:cstheme="minorHAnsi"/>
                <w:sz w:val="20"/>
                <w:szCs w:val="20"/>
                <w:lang w:val="es-ES_tradnl"/>
              </w:rPr>
            </w:pPr>
            <w:r w:rsidRPr="00C4166D">
              <w:rPr>
                <w:rFonts w:ascii="Verdana" w:hAnsi="Verdana" w:cstheme="minorHAnsi"/>
                <w:sz w:val="20"/>
                <w:szCs w:val="20"/>
                <w:lang w:val="es-ES_tradnl"/>
              </w:rPr>
              <w:t>En la tramitación del proyecto se ha de dar cumplimiento a los siguientes trámites:</w:t>
            </w:r>
          </w:p>
          <w:p w14:paraId="3B584C8E" w14:textId="41A9C699" w:rsidR="00471839" w:rsidRPr="000562B4" w:rsidRDefault="00471839" w:rsidP="00DB2D04">
            <w:pPr>
              <w:pStyle w:val="Prrafodelista"/>
              <w:numPr>
                <w:ilvl w:val="0"/>
                <w:numId w:val="31"/>
              </w:numPr>
              <w:spacing w:before="120" w:line="360" w:lineRule="auto"/>
              <w:jc w:val="both"/>
              <w:rPr>
                <w:rFonts w:ascii="Verdana" w:hAnsi="Verdana" w:cstheme="minorHAnsi"/>
                <w:sz w:val="20"/>
                <w:szCs w:val="20"/>
              </w:rPr>
            </w:pPr>
            <w:r w:rsidRPr="000562B4">
              <w:rPr>
                <w:rFonts w:ascii="Verdana" w:hAnsi="Verdana" w:cstheme="minorHAnsi"/>
                <w:sz w:val="20"/>
                <w:szCs w:val="20"/>
              </w:rPr>
              <w:t xml:space="preserve">Informe </w:t>
            </w:r>
            <w:r w:rsidR="00DB2D04" w:rsidRPr="000562B4">
              <w:rPr>
                <w:rFonts w:ascii="Verdana" w:hAnsi="Verdana" w:cstheme="minorHAnsi"/>
                <w:sz w:val="20"/>
                <w:szCs w:val="20"/>
              </w:rPr>
              <w:t xml:space="preserve">preceptivo </w:t>
            </w:r>
            <w:r w:rsidRPr="000562B4">
              <w:rPr>
                <w:rFonts w:ascii="Verdana" w:hAnsi="Verdana" w:cstheme="minorHAnsi"/>
                <w:sz w:val="20"/>
                <w:szCs w:val="20"/>
              </w:rPr>
              <w:t>de la Oficina de Coordinación y Calidad Normativa</w:t>
            </w:r>
            <w:r w:rsidR="00DB2D04" w:rsidRPr="000562B4">
              <w:rPr>
                <w:rFonts w:ascii="Verdana" w:hAnsi="Verdana" w:cstheme="minorHAnsi"/>
                <w:sz w:val="20"/>
                <w:szCs w:val="20"/>
              </w:rPr>
              <w:t xml:space="preserve"> a los efectos previstos en el artículo 26.9 de la Ley 50/1997, de 27 de noviembre</w:t>
            </w:r>
            <w:r w:rsidR="006A33A4" w:rsidRPr="000562B4">
              <w:rPr>
                <w:rFonts w:ascii="Verdana" w:hAnsi="Verdana" w:cstheme="minorHAnsi"/>
                <w:sz w:val="20"/>
                <w:szCs w:val="20"/>
              </w:rPr>
              <w:t>, el cual fue emitido el 30-01-2025</w:t>
            </w:r>
            <w:r w:rsidR="00DB2D04" w:rsidRPr="000562B4">
              <w:rPr>
                <w:rFonts w:ascii="Verdana" w:hAnsi="Verdana" w:cstheme="minorHAnsi"/>
                <w:sz w:val="20"/>
                <w:szCs w:val="20"/>
              </w:rPr>
              <w:t>.</w:t>
            </w:r>
          </w:p>
          <w:p w14:paraId="030CB975" w14:textId="7ACCCF89" w:rsidR="00471839" w:rsidRPr="00C4166D" w:rsidRDefault="00471839" w:rsidP="006A33A4">
            <w:pPr>
              <w:pStyle w:val="Prrafodelista"/>
              <w:numPr>
                <w:ilvl w:val="0"/>
                <w:numId w:val="31"/>
              </w:numPr>
              <w:spacing w:before="120" w:line="360" w:lineRule="auto"/>
              <w:jc w:val="both"/>
              <w:rPr>
                <w:rFonts w:ascii="Verdana" w:hAnsi="Verdana" w:cstheme="minorHAnsi"/>
                <w:sz w:val="20"/>
                <w:szCs w:val="20"/>
              </w:rPr>
            </w:pPr>
            <w:r w:rsidRPr="00C4166D">
              <w:rPr>
                <w:rFonts w:ascii="Verdana" w:hAnsi="Verdana" w:cstheme="minorHAnsi"/>
                <w:sz w:val="20"/>
                <w:szCs w:val="20"/>
              </w:rPr>
              <w:t xml:space="preserve">Informe </w:t>
            </w:r>
            <w:r w:rsidR="00DB2D04" w:rsidRPr="006A33A4">
              <w:rPr>
                <w:rFonts w:ascii="Verdana" w:hAnsi="Verdana" w:cstheme="minorHAnsi"/>
                <w:sz w:val="20"/>
                <w:szCs w:val="20"/>
              </w:rPr>
              <w:t xml:space="preserve">preceptivo </w:t>
            </w:r>
            <w:r w:rsidRPr="00C4166D">
              <w:rPr>
                <w:rFonts w:ascii="Verdana" w:hAnsi="Verdana" w:cstheme="minorHAnsi"/>
                <w:sz w:val="20"/>
                <w:szCs w:val="20"/>
              </w:rPr>
              <w:t>de la Secretaría General Técnica del Ministerio de la Presidencia, Justicia y Relaciones con las Cortes</w:t>
            </w:r>
            <w:r w:rsidR="006A33A4" w:rsidRPr="006A33A4">
              <w:rPr>
                <w:rFonts w:ascii="Verdana" w:hAnsi="Verdana" w:cstheme="minorHAnsi"/>
                <w:sz w:val="20"/>
                <w:szCs w:val="20"/>
              </w:rPr>
              <w:t xml:space="preserve"> de acuerdo con lo previsto en el artículo 26.5, párrafo cuarto de la Ley 50/1997, de 27 de noviembre</w:t>
            </w:r>
            <w:r w:rsidR="006A33A4">
              <w:rPr>
                <w:rFonts w:ascii="Verdana" w:hAnsi="Verdana" w:cstheme="minorHAnsi"/>
                <w:sz w:val="20"/>
                <w:szCs w:val="20"/>
              </w:rPr>
              <w:t xml:space="preserve">, el cual fue emitido el </w:t>
            </w:r>
            <w:proofErr w:type="spellStart"/>
            <w:r w:rsidR="00543D67">
              <w:rPr>
                <w:rFonts w:ascii="Verdana" w:hAnsi="Verdana" w:cstheme="minorHAnsi"/>
                <w:sz w:val="20"/>
                <w:szCs w:val="20"/>
              </w:rPr>
              <w:t>xxxxxxxx</w:t>
            </w:r>
            <w:proofErr w:type="spellEnd"/>
          </w:p>
          <w:p w14:paraId="24217EC5" w14:textId="0D295C76" w:rsidR="00471839" w:rsidRPr="00BE1E79" w:rsidRDefault="00471839" w:rsidP="000562B4">
            <w:pPr>
              <w:pStyle w:val="Prrafodelista"/>
              <w:spacing w:before="120" w:line="360" w:lineRule="auto"/>
              <w:ind w:left="852"/>
              <w:jc w:val="both"/>
              <w:rPr>
                <w:rFonts w:ascii="Verdana" w:eastAsia="Times New Roman" w:hAnsi="Verdana" w:cs="Times New Roman"/>
                <w:color w:val="4F81BD"/>
                <w:sz w:val="20"/>
                <w:szCs w:val="20"/>
              </w:rPr>
            </w:pPr>
          </w:p>
        </w:tc>
      </w:tr>
      <w:tr w:rsidR="00471839" w:rsidRPr="00096827" w14:paraId="261A6D6B" w14:textId="77777777" w:rsidTr="00C4166D">
        <w:trPr>
          <w:trHeight w:hRule="exact" w:val="4900"/>
        </w:trPr>
        <w:tc>
          <w:tcPr>
            <w:tcW w:w="2394" w:type="dxa"/>
            <w:shd w:val="clear" w:color="auto" w:fill="FFFFFF"/>
          </w:tcPr>
          <w:p w14:paraId="0D416CF7" w14:textId="44D28E68" w:rsidR="00471839" w:rsidRPr="00096827" w:rsidRDefault="00471839" w:rsidP="00573016">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Pr>
                <w:rFonts w:ascii="Verdana" w:eastAsia="Times New Roman" w:hAnsi="Verdana" w:cs="Arial"/>
                <w:b/>
                <w:bCs/>
                <w:color w:val="000000"/>
                <w:sz w:val="20"/>
                <w:szCs w:val="20"/>
              </w:rPr>
              <w:t>Trámite de audiencia</w:t>
            </w:r>
          </w:p>
        </w:tc>
        <w:tc>
          <w:tcPr>
            <w:tcW w:w="7089" w:type="dxa"/>
            <w:gridSpan w:val="5"/>
            <w:shd w:val="clear" w:color="auto" w:fill="FFFFFF"/>
          </w:tcPr>
          <w:p w14:paraId="21FDF12F" w14:textId="0FC6A714" w:rsidR="00471839" w:rsidRPr="00C4166D" w:rsidRDefault="00471839" w:rsidP="00471839">
            <w:pPr>
              <w:spacing w:before="120" w:line="360" w:lineRule="auto"/>
              <w:ind w:left="132"/>
              <w:jc w:val="both"/>
              <w:rPr>
                <w:rFonts w:ascii="Verdana" w:hAnsi="Verdana" w:cstheme="minorHAnsi"/>
                <w:sz w:val="20"/>
                <w:szCs w:val="20"/>
                <w:lang w:val="es-ES_tradnl"/>
              </w:rPr>
            </w:pPr>
            <w:r w:rsidRPr="00C4166D">
              <w:rPr>
                <w:rFonts w:ascii="Verdana" w:hAnsi="Verdana" w:cstheme="minorHAnsi"/>
                <w:sz w:val="20"/>
                <w:szCs w:val="20"/>
                <w:lang w:val="es-ES_tradnl"/>
              </w:rPr>
              <w:t>No procede, pues concurren circunstancias de las recogidas en el art. 26.</w:t>
            </w:r>
            <w:r w:rsidR="005E1414">
              <w:rPr>
                <w:rFonts w:ascii="Verdana" w:hAnsi="Verdana" w:cstheme="minorHAnsi"/>
                <w:sz w:val="20"/>
                <w:szCs w:val="20"/>
                <w:lang w:val="es-ES_tradnl"/>
              </w:rPr>
              <w:t>6</w:t>
            </w:r>
            <w:r w:rsidRPr="00C4166D">
              <w:rPr>
                <w:rFonts w:ascii="Verdana" w:hAnsi="Verdana" w:cstheme="minorHAnsi"/>
                <w:sz w:val="20"/>
                <w:szCs w:val="20"/>
                <w:lang w:val="es-ES_tradnl"/>
              </w:rPr>
              <w:t xml:space="preserve"> de la Ley 50/1997, de 27 de noviembre, del Gobierno, para prescindir de ese trámite</w:t>
            </w:r>
            <w:r w:rsidR="005E1414">
              <w:rPr>
                <w:rFonts w:ascii="Verdana" w:hAnsi="Verdana" w:cstheme="minorHAnsi"/>
                <w:sz w:val="20"/>
                <w:szCs w:val="20"/>
                <w:lang w:val="es-ES_tradnl"/>
              </w:rPr>
              <w:t xml:space="preserve">. </w:t>
            </w:r>
          </w:p>
        </w:tc>
      </w:tr>
      <w:tr w:rsidR="0063584C" w:rsidRPr="00096827" w14:paraId="59139688" w14:textId="77777777" w:rsidTr="0070003B">
        <w:trPr>
          <w:trHeight w:hRule="exact" w:val="1103"/>
        </w:trPr>
        <w:tc>
          <w:tcPr>
            <w:tcW w:w="9483" w:type="dxa"/>
            <w:gridSpan w:val="6"/>
            <w:shd w:val="clear" w:color="auto" w:fill="A6A6A6"/>
            <w:vAlign w:val="center"/>
          </w:tcPr>
          <w:p w14:paraId="59B6E8F3" w14:textId="77777777" w:rsidR="0063584C" w:rsidRPr="00096827" w:rsidRDefault="0063584C" w:rsidP="00617FE5">
            <w:pPr>
              <w:widowControl w:val="0"/>
              <w:autoSpaceDE w:val="0"/>
              <w:autoSpaceDN w:val="0"/>
              <w:adjustRightInd w:val="0"/>
              <w:spacing w:before="120" w:after="0" w:line="360" w:lineRule="auto"/>
              <w:ind w:left="101" w:right="32"/>
              <w:rPr>
                <w:rFonts w:ascii="Verdana" w:eastAsia="Times New Roman" w:hAnsi="Verdana" w:cs="Times New Roman"/>
                <w:b/>
                <w:color w:val="FFFFFF"/>
                <w:sz w:val="20"/>
                <w:szCs w:val="20"/>
              </w:rPr>
            </w:pPr>
            <w:r w:rsidRPr="00096827">
              <w:rPr>
                <w:rFonts w:ascii="Verdana" w:eastAsia="Times New Roman" w:hAnsi="Verdana" w:cs="Times New Roman"/>
                <w:b/>
                <w:color w:val="FFFFFF"/>
                <w:sz w:val="20"/>
                <w:szCs w:val="20"/>
              </w:rPr>
              <w:t>ANÁLISIS DE IMPACTOS</w:t>
            </w:r>
          </w:p>
        </w:tc>
      </w:tr>
      <w:tr w:rsidR="0063584C" w:rsidRPr="00096827" w14:paraId="32BEB57B" w14:textId="77777777" w:rsidTr="0070003B">
        <w:trPr>
          <w:trHeight w:hRule="exact" w:val="1615"/>
        </w:trPr>
        <w:tc>
          <w:tcPr>
            <w:tcW w:w="2679" w:type="dxa"/>
            <w:gridSpan w:val="3"/>
            <w:shd w:val="clear" w:color="auto" w:fill="FFFFFF"/>
          </w:tcPr>
          <w:p w14:paraId="5F82BA98"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lastRenderedPageBreak/>
              <w:t>Adecuación al orden de competencias</w:t>
            </w:r>
          </w:p>
        </w:tc>
        <w:tc>
          <w:tcPr>
            <w:tcW w:w="6804" w:type="dxa"/>
            <w:gridSpan w:val="3"/>
            <w:shd w:val="clear" w:color="auto" w:fill="FFFFFF"/>
          </w:tcPr>
          <w:p w14:paraId="082FF460" w14:textId="137C2439" w:rsidR="0063584C" w:rsidRPr="00096827" w:rsidRDefault="0041493A" w:rsidP="00617FE5">
            <w:pPr>
              <w:widowControl w:val="0"/>
              <w:autoSpaceDE w:val="0"/>
              <w:autoSpaceDN w:val="0"/>
              <w:adjustRightInd w:val="0"/>
              <w:spacing w:before="120" w:after="0" w:line="360" w:lineRule="auto"/>
              <w:ind w:right="142"/>
              <w:jc w:val="both"/>
              <w:rPr>
                <w:rFonts w:ascii="Verdana" w:eastAsia="Times New Roman" w:hAnsi="Verdana" w:cs="Times New Roman"/>
                <w:sz w:val="20"/>
                <w:szCs w:val="20"/>
              </w:rPr>
            </w:pPr>
            <w:r>
              <w:rPr>
                <w:rFonts w:ascii="Verdana" w:eastAsia="Times New Roman" w:hAnsi="Verdana" w:cs="Times New Roman"/>
                <w:sz w:val="20"/>
                <w:szCs w:val="20"/>
              </w:rPr>
              <w:t>Se dicta al amparo de lo establecido en el a</w:t>
            </w:r>
            <w:r w:rsidR="0063584C" w:rsidRPr="00096827">
              <w:rPr>
                <w:rFonts w:ascii="Verdana" w:eastAsia="Times New Roman" w:hAnsi="Verdana" w:cs="Times New Roman"/>
                <w:sz w:val="20"/>
                <w:szCs w:val="20"/>
              </w:rPr>
              <w:t>rtículo 149.</w:t>
            </w:r>
            <w:r w:rsidR="000562B4" w:rsidRPr="00096827">
              <w:rPr>
                <w:rFonts w:ascii="Verdana" w:eastAsia="Times New Roman" w:hAnsi="Verdana" w:cs="Times New Roman"/>
                <w:sz w:val="20"/>
                <w:szCs w:val="20"/>
              </w:rPr>
              <w:t>1. 5ª</w:t>
            </w:r>
            <w:r w:rsidR="0063584C">
              <w:rPr>
                <w:rFonts w:ascii="Verdana" w:eastAsia="Times New Roman" w:hAnsi="Verdana" w:cs="Times New Roman"/>
                <w:sz w:val="20"/>
                <w:szCs w:val="20"/>
              </w:rPr>
              <w:t xml:space="preserve"> </w:t>
            </w:r>
            <w:r w:rsidR="0063584C" w:rsidRPr="00096827">
              <w:rPr>
                <w:rFonts w:ascii="Verdana" w:eastAsia="Times New Roman" w:hAnsi="Verdana" w:cs="Times New Roman"/>
                <w:sz w:val="20"/>
                <w:szCs w:val="20"/>
              </w:rPr>
              <w:t>de la Constitución Española</w:t>
            </w:r>
            <w:r>
              <w:rPr>
                <w:rFonts w:ascii="Verdana" w:eastAsia="Times New Roman" w:hAnsi="Verdana" w:cs="Times New Roman"/>
                <w:sz w:val="20"/>
                <w:szCs w:val="20"/>
              </w:rPr>
              <w:t xml:space="preserve"> que atribuye al Estado la competencia exclusiva</w:t>
            </w:r>
            <w:r w:rsidR="009403E5">
              <w:rPr>
                <w:rFonts w:ascii="Verdana" w:eastAsia="Times New Roman" w:hAnsi="Verdana" w:cs="Times New Roman"/>
                <w:sz w:val="20"/>
                <w:szCs w:val="20"/>
              </w:rPr>
              <w:t xml:space="preserve"> sobre Administración de Justicia</w:t>
            </w:r>
            <w:r w:rsidR="0063584C" w:rsidRPr="00096827">
              <w:rPr>
                <w:rFonts w:ascii="Verdana" w:eastAsia="Times New Roman" w:hAnsi="Verdana" w:cs="Times New Roman"/>
                <w:sz w:val="20"/>
                <w:szCs w:val="20"/>
              </w:rPr>
              <w:t>.</w:t>
            </w:r>
          </w:p>
        </w:tc>
      </w:tr>
      <w:tr w:rsidR="0063584C" w:rsidRPr="00096827" w14:paraId="046DF932" w14:textId="77777777" w:rsidTr="0070003B">
        <w:trPr>
          <w:trHeight w:hRule="exact" w:val="999"/>
        </w:trPr>
        <w:tc>
          <w:tcPr>
            <w:tcW w:w="2679" w:type="dxa"/>
            <w:gridSpan w:val="3"/>
            <w:vMerge w:val="restart"/>
            <w:shd w:val="clear" w:color="auto" w:fill="auto"/>
          </w:tcPr>
          <w:p w14:paraId="594508C6"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 xml:space="preserve">Impacto económico y presupuestario </w:t>
            </w:r>
          </w:p>
        </w:tc>
        <w:tc>
          <w:tcPr>
            <w:tcW w:w="3132" w:type="dxa"/>
            <w:shd w:val="clear" w:color="auto" w:fill="auto"/>
          </w:tcPr>
          <w:p w14:paraId="486E6CA5"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Efectos sobre la economía en general</w:t>
            </w:r>
          </w:p>
        </w:tc>
        <w:tc>
          <w:tcPr>
            <w:tcW w:w="3672" w:type="dxa"/>
            <w:gridSpan w:val="2"/>
            <w:shd w:val="clear" w:color="auto" w:fill="auto"/>
          </w:tcPr>
          <w:p w14:paraId="4F4AD22D"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No se detecta efecto inicial alguno en el ámbito económico</w:t>
            </w:r>
            <w:r>
              <w:rPr>
                <w:rFonts w:ascii="Verdana" w:eastAsia="Times New Roman" w:hAnsi="Verdana" w:cs="Times New Roman"/>
                <w:sz w:val="20"/>
                <w:szCs w:val="20"/>
              </w:rPr>
              <w:t>.</w:t>
            </w:r>
          </w:p>
        </w:tc>
      </w:tr>
      <w:tr w:rsidR="0063584C" w:rsidRPr="00096827" w14:paraId="3F278E5A" w14:textId="77777777" w:rsidTr="0070003B">
        <w:trPr>
          <w:trHeight w:hRule="exact" w:val="2686"/>
        </w:trPr>
        <w:tc>
          <w:tcPr>
            <w:tcW w:w="2679" w:type="dxa"/>
            <w:gridSpan w:val="3"/>
            <w:vMerge/>
            <w:shd w:val="clear" w:color="auto" w:fill="FFFFFF"/>
          </w:tcPr>
          <w:p w14:paraId="09FD9569" w14:textId="77777777" w:rsidR="0063584C" w:rsidRPr="00096827" w:rsidRDefault="0063584C" w:rsidP="00617FE5">
            <w:pPr>
              <w:widowControl w:val="0"/>
              <w:autoSpaceDE w:val="0"/>
              <w:autoSpaceDN w:val="0"/>
              <w:adjustRightInd w:val="0"/>
              <w:spacing w:before="120" w:after="0" w:line="360" w:lineRule="auto"/>
              <w:ind w:left="91" w:right="-20"/>
              <w:jc w:val="both"/>
              <w:rPr>
                <w:rFonts w:ascii="Verdana" w:eastAsia="Times New Roman" w:hAnsi="Verdana" w:cs="Arial"/>
                <w:b/>
                <w:bCs/>
                <w:color w:val="000000"/>
                <w:sz w:val="20"/>
                <w:szCs w:val="20"/>
              </w:rPr>
            </w:pPr>
          </w:p>
        </w:tc>
        <w:tc>
          <w:tcPr>
            <w:tcW w:w="3132" w:type="dxa"/>
            <w:shd w:val="clear" w:color="auto" w:fill="FFFFFF"/>
          </w:tcPr>
          <w:p w14:paraId="605990FE" w14:textId="77777777" w:rsidR="0063584C" w:rsidRPr="00096827" w:rsidRDefault="0063584C" w:rsidP="00617FE5">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096827">
              <w:rPr>
                <w:rFonts w:ascii="Verdana" w:eastAsia="Times New Roman" w:hAnsi="Verdana" w:cs="Times New Roman"/>
                <w:sz w:val="20"/>
                <w:szCs w:val="20"/>
              </w:rPr>
              <w:t>En relación con la competencia</w:t>
            </w:r>
          </w:p>
        </w:tc>
        <w:tc>
          <w:tcPr>
            <w:tcW w:w="3672" w:type="dxa"/>
            <w:gridSpan w:val="2"/>
            <w:shd w:val="clear" w:color="auto" w:fill="FFFFFF"/>
          </w:tcPr>
          <w:p w14:paraId="671C54C9"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1"/>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La norma no tiene efectos sobre la competencia</w:t>
            </w:r>
          </w:p>
          <w:p w14:paraId="44ED8E2B" w14:textId="319EC511"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La norma no tiene efectos positivos sobre la competencia</w:t>
            </w:r>
          </w:p>
          <w:p w14:paraId="6873D7B8"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La norma no tiene efectos negativos sobre la competencia</w:t>
            </w:r>
          </w:p>
        </w:tc>
      </w:tr>
      <w:tr w:rsidR="0063584C" w:rsidRPr="00096827" w14:paraId="29865A02" w14:textId="77777777" w:rsidTr="0070003B">
        <w:trPr>
          <w:trHeight w:hRule="exact" w:val="2724"/>
        </w:trPr>
        <w:tc>
          <w:tcPr>
            <w:tcW w:w="2679" w:type="dxa"/>
            <w:gridSpan w:val="3"/>
            <w:vMerge/>
            <w:shd w:val="clear" w:color="auto" w:fill="FFFFFF"/>
          </w:tcPr>
          <w:p w14:paraId="6B8CEABC" w14:textId="77777777" w:rsidR="0063584C" w:rsidRPr="00096827" w:rsidRDefault="0063584C" w:rsidP="00617FE5">
            <w:pPr>
              <w:widowControl w:val="0"/>
              <w:autoSpaceDE w:val="0"/>
              <w:autoSpaceDN w:val="0"/>
              <w:adjustRightInd w:val="0"/>
              <w:spacing w:before="120" w:after="0" w:line="360" w:lineRule="auto"/>
              <w:ind w:left="91" w:right="-20"/>
              <w:jc w:val="both"/>
              <w:rPr>
                <w:rFonts w:ascii="Verdana" w:eastAsia="Times New Roman" w:hAnsi="Verdana" w:cs="Arial"/>
                <w:b/>
                <w:bCs/>
                <w:color w:val="000000"/>
                <w:sz w:val="20"/>
                <w:szCs w:val="20"/>
              </w:rPr>
            </w:pPr>
          </w:p>
        </w:tc>
        <w:tc>
          <w:tcPr>
            <w:tcW w:w="3132" w:type="dxa"/>
            <w:shd w:val="clear" w:color="auto" w:fill="FFFFFF"/>
          </w:tcPr>
          <w:p w14:paraId="1816188C"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Desde el punto de vista de las cargas administrativas</w:t>
            </w:r>
          </w:p>
        </w:tc>
        <w:tc>
          <w:tcPr>
            <w:tcW w:w="3672" w:type="dxa"/>
            <w:gridSpan w:val="2"/>
            <w:shd w:val="clear" w:color="auto" w:fill="FFFFFF"/>
          </w:tcPr>
          <w:p w14:paraId="22B87C37"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Supone una reducción de cargas administrativas</w:t>
            </w:r>
          </w:p>
          <w:p w14:paraId="37A7E67D"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Incorpora nuevas cargas administrativas</w:t>
            </w:r>
          </w:p>
          <w:p w14:paraId="795413BE"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color w:val="4F81BD"/>
                <w:sz w:val="20"/>
                <w:szCs w:val="20"/>
              </w:rPr>
            </w:pPr>
            <w:r w:rsidRPr="00096827">
              <w:rPr>
                <w:rFonts w:ascii="Verdana" w:eastAsia="Times New Roman" w:hAnsi="Verdana" w:cs="Arial"/>
                <w:sz w:val="20"/>
                <w:szCs w:val="20"/>
              </w:rPr>
              <w:fldChar w:fldCharType="begin">
                <w:ffData>
                  <w:name w:val=""/>
                  <w:enabled/>
                  <w:calcOnExit w:val="0"/>
                  <w:checkBox>
                    <w:sizeAuto/>
                    <w:default w:val="1"/>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No afecta a las cargas administrativas existentes</w:t>
            </w:r>
          </w:p>
        </w:tc>
      </w:tr>
      <w:tr w:rsidR="0063584C" w:rsidRPr="00096827" w14:paraId="00C9B7AF" w14:textId="77777777" w:rsidTr="0070003B">
        <w:trPr>
          <w:trHeight w:hRule="exact" w:val="4401"/>
        </w:trPr>
        <w:tc>
          <w:tcPr>
            <w:tcW w:w="2679" w:type="dxa"/>
            <w:gridSpan w:val="3"/>
            <w:vMerge/>
            <w:shd w:val="clear" w:color="auto" w:fill="FFFFFF"/>
          </w:tcPr>
          <w:p w14:paraId="2237CD7A" w14:textId="77777777" w:rsidR="0063584C" w:rsidRPr="00096827" w:rsidRDefault="0063584C" w:rsidP="00617FE5">
            <w:pPr>
              <w:widowControl w:val="0"/>
              <w:autoSpaceDE w:val="0"/>
              <w:autoSpaceDN w:val="0"/>
              <w:adjustRightInd w:val="0"/>
              <w:spacing w:before="120" w:after="0" w:line="360" w:lineRule="auto"/>
              <w:ind w:left="91" w:right="-20"/>
              <w:jc w:val="both"/>
              <w:rPr>
                <w:rFonts w:ascii="Verdana" w:eastAsia="Times New Roman" w:hAnsi="Verdana" w:cs="Arial"/>
                <w:b/>
                <w:bCs/>
                <w:color w:val="000000"/>
                <w:sz w:val="20"/>
                <w:szCs w:val="20"/>
              </w:rPr>
            </w:pPr>
          </w:p>
        </w:tc>
        <w:tc>
          <w:tcPr>
            <w:tcW w:w="3132" w:type="dxa"/>
            <w:shd w:val="clear" w:color="auto" w:fill="FFFFFF"/>
          </w:tcPr>
          <w:p w14:paraId="51D2977D"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Desde el punto de vista de los presupuestos, la norma</w:t>
            </w:r>
          </w:p>
          <w:p w14:paraId="170A6BE8" w14:textId="0C087C7F" w:rsidR="0063584C" w:rsidRPr="00096827" w:rsidRDefault="00265143"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265143">
              <w:rPr>
                <w:rFonts w:ascii="Verdana" w:eastAsia="Times New Roman" w:hAnsi="Verdana" w:cs="Times New Roman"/>
                <w:sz w:val="20"/>
                <w:szCs w:val="20"/>
              </w:rPr>
              <w:fldChar w:fldCharType="begin">
                <w:ffData>
                  <w:name w:val=""/>
                  <w:enabled/>
                  <w:calcOnExit w:val="0"/>
                  <w:checkBox>
                    <w:sizeAuto/>
                    <w:default w:val="0"/>
                  </w:checkBox>
                </w:ffData>
              </w:fldChar>
            </w:r>
            <w:r w:rsidRPr="00265143">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265143">
              <w:rPr>
                <w:rFonts w:ascii="Verdana" w:eastAsia="Times New Roman" w:hAnsi="Verdana" w:cs="Times New Roman"/>
                <w:sz w:val="20"/>
                <w:szCs w:val="20"/>
              </w:rPr>
              <w:fldChar w:fldCharType="end"/>
            </w:r>
            <w:r w:rsidRPr="00265143">
              <w:rPr>
                <w:rFonts w:ascii="Verdana" w:eastAsia="Times New Roman" w:hAnsi="Verdana" w:cs="Times New Roman"/>
                <w:sz w:val="20"/>
                <w:szCs w:val="20"/>
              </w:rPr>
              <w:t xml:space="preserve"> </w:t>
            </w:r>
            <w:r w:rsidR="0063584C" w:rsidRPr="00096827">
              <w:rPr>
                <w:rFonts w:ascii="Verdana" w:eastAsia="Times New Roman" w:hAnsi="Verdana" w:cs="Times New Roman"/>
                <w:sz w:val="20"/>
                <w:szCs w:val="20"/>
              </w:rPr>
              <w:t>Afecta a los presupuestos de la Administración del</w:t>
            </w:r>
            <w:r w:rsidR="0063584C" w:rsidRPr="00096827">
              <w:rPr>
                <w:rFonts w:ascii="Verdana" w:eastAsia="Times New Roman" w:hAnsi="Verdana" w:cs="Times New Roman"/>
                <w:color w:val="4F81BD"/>
                <w:sz w:val="20"/>
                <w:szCs w:val="20"/>
              </w:rPr>
              <w:t xml:space="preserve"> </w:t>
            </w:r>
            <w:r w:rsidR="0063584C" w:rsidRPr="00096827">
              <w:rPr>
                <w:rFonts w:ascii="Verdana" w:eastAsia="Times New Roman" w:hAnsi="Verdana" w:cs="Times New Roman"/>
                <w:sz w:val="20"/>
                <w:szCs w:val="20"/>
              </w:rPr>
              <w:t>Estado</w:t>
            </w:r>
          </w:p>
          <w:p w14:paraId="05DA606D" w14:textId="77777777"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Afecta a los presupuestos de otras Administraciones Territoriales</w:t>
            </w:r>
          </w:p>
          <w:p w14:paraId="25B1F178" w14:textId="77777777" w:rsidR="0063584C" w:rsidRPr="00096827" w:rsidRDefault="0063584C" w:rsidP="00617FE5">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p>
          <w:p w14:paraId="36894117" w14:textId="77777777" w:rsidR="0063584C" w:rsidRPr="00096827" w:rsidRDefault="0063584C" w:rsidP="00617FE5">
            <w:pPr>
              <w:widowControl w:val="0"/>
              <w:autoSpaceDE w:val="0"/>
              <w:autoSpaceDN w:val="0"/>
              <w:adjustRightInd w:val="0"/>
              <w:spacing w:before="120" w:after="0" w:line="360" w:lineRule="auto"/>
              <w:ind w:left="101" w:right="32"/>
              <w:jc w:val="both"/>
              <w:rPr>
                <w:rFonts w:ascii="Verdana" w:eastAsia="Times New Roman" w:hAnsi="Verdana" w:cs="Times New Roman"/>
                <w:color w:val="4F81BD"/>
                <w:sz w:val="20"/>
                <w:szCs w:val="20"/>
              </w:rPr>
            </w:pPr>
          </w:p>
        </w:tc>
        <w:tc>
          <w:tcPr>
            <w:tcW w:w="3672" w:type="dxa"/>
            <w:gridSpan w:val="2"/>
            <w:shd w:val="clear" w:color="auto" w:fill="FFFFFF"/>
          </w:tcPr>
          <w:p w14:paraId="4A92E78C" w14:textId="5125EFB9" w:rsidR="0063584C" w:rsidRPr="00E73D13" w:rsidRDefault="003D355A" w:rsidP="00617FE5">
            <w:pPr>
              <w:widowControl w:val="0"/>
              <w:autoSpaceDE w:val="0"/>
              <w:autoSpaceDN w:val="0"/>
              <w:adjustRightInd w:val="0"/>
              <w:spacing w:before="120" w:after="0" w:line="360" w:lineRule="auto"/>
              <w:ind w:right="14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1"/>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Pr>
                <w:rFonts w:ascii="Verdana" w:eastAsia="Times New Roman" w:hAnsi="Verdana" w:cs="Arial"/>
                <w:sz w:val="20"/>
                <w:szCs w:val="20"/>
              </w:rPr>
              <w:t xml:space="preserve"> </w:t>
            </w:r>
            <w:r w:rsidR="00265143" w:rsidRPr="00E73D13">
              <w:rPr>
                <w:rFonts w:ascii="Verdana" w:eastAsia="Times New Roman" w:hAnsi="Verdana" w:cs="Times New Roman"/>
                <w:sz w:val="20"/>
                <w:szCs w:val="20"/>
              </w:rPr>
              <w:t>No afecta a los presupuestos.</w:t>
            </w:r>
          </w:p>
        </w:tc>
      </w:tr>
      <w:tr w:rsidR="0063584C" w:rsidRPr="00096827" w14:paraId="6E39AF17" w14:textId="77777777" w:rsidTr="0070003B">
        <w:trPr>
          <w:trHeight w:hRule="exact" w:val="1671"/>
        </w:trPr>
        <w:tc>
          <w:tcPr>
            <w:tcW w:w="2679" w:type="dxa"/>
            <w:gridSpan w:val="3"/>
            <w:shd w:val="clear" w:color="auto" w:fill="FFFFFF"/>
          </w:tcPr>
          <w:p w14:paraId="55987589" w14:textId="77777777" w:rsidR="0063584C" w:rsidRPr="00096827" w:rsidRDefault="0063584C" w:rsidP="00617FE5">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lastRenderedPageBreak/>
              <w:t>Impacto de género</w:t>
            </w:r>
          </w:p>
        </w:tc>
        <w:tc>
          <w:tcPr>
            <w:tcW w:w="3132" w:type="dxa"/>
            <w:shd w:val="clear" w:color="auto" w:fill="FFFFFF"/>
          </w:tcPr>
          <w:p w14:paraId="54E1F51E" w14:textId="3797B7DF" w:rsidR="0063584C" w:rsidRPr="00096827" w:rsidRDefault="0063584C" w:rsidP="00617FE5">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La norma tiene un impacto de género</w:t>
            </w:r>
            <w:r>
              <w:rPr>
                <w:rFonts w:ascii="Verdana" w:eastAsia="Times New Roman" w:hAnsi="Verdana" w:cs="Times New Roman"/>
                <w:sz w:val="20"/>
                <w:szCs w:val="20"/>
              </w:rPr>
              <w:t>.</w:t>
            </w:r>
          </w:p>
        </w:tc>
        <w:tc>
          <w:tcPr>
            <w:tcW w:w="3672" w:type="dxa"/>
            <w:gridSpan w:val="2"/>
            <w:shd w:val="clear" w:color="auto" w:fill="FFFFFF"/>
          </w:tcPr>
          <w:p w14:paraId="7B8557DC" w14:textId="77777777" w:rsidR="0063584C" w:rsidRPr="00096827" w:rsidRDefault="0063584C" w:rsidP="00617FE5">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 xml:space="preserve">Negativo </w:t>
            </w:r>
          </w:p>
          <w:p w14:paraId="45889C91" w14:textId="5D4719D5" w:rsidR="0063584C" w:rsidRPr="00096827" w:rsidRDefault="009A41C9" w:rsidP="00617FE5">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9A41C9">
              <w:rPr>
                <w:rFonts w:ascii="Verdana" w:eastAsia="Times New Roman" w:hAnsi="Verdana" w:cs="Times New Roman"/>
                <w:sz w:val="20"/>
                <w:szCs w:val="20"/>
              </w:rPr>
              <w:fldChar w:fldCharType="begin">
                <w:ffData>
                  <w:name w:val=""/>
                  <w:enabled/>
                  <w:calcOnExit w:val="0"/>
                  <w:checkBox>
                    <w:sizeAuto/>
                    <w:default w:val="1"/>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Pr>
                <w:rFonts w:ascii="Verdana" w:eastAsia="Times New Roman" w:hAnsi="Verdana" w:cs="Times New Roman"/>
                <w:sz w:val="20"/>
                <w:szCs w:val="20"/>
              </w:rPr>
              <w:t xml:space="preserve"> </w:t>
            </w:r>
            <w:r w:rsidR="0063584C" w:rsidRPr="00096827">
              <w:rPr>
                <w:rFonts w:ascii="Verdana" w:eastAsia="Times New Roman" w:hAnsi="Verdana" w:cs="Times New Roman"/>
                <w:sz w:val="20"/>
                <w:szCs w:val="20"/>
              </w:rPr>
              <w:t>Nulo</w:t>
            </w:r>
          </w:p>
          <w:p w14:paraId="24EB3414" w14:textId="6FA08006" w:rsidR="0063584C" w:rsidRPr="00096827" w:rsidRDefault="009A41C9" w:rsidP="00617FE5">
            <w:pPr>
              <w:keepNext/>
              <w:widowControl w:val="0"/>
              <w:autoSpaceDE w:val="0"/>
              <w:autoSpaceDN w:val="0"/>
              <w:adjustRightInd w:val="0"/>
              <w:spacing w:before="120" w:after="0" w:line="360" w:lineRule="auto"/>
              <w:ind w:left="101" w:right="32"/>
              <w:jc w:val="both"/>
              <w:rPr>
                <w:rFonts w:ascii="Verdana" w:eastAsia="Times New Roman" w:hAnsi="Verdana" w:cs="Times New Roman"/>
                <w:color w:val="4F81BD"/>
                <w:sz w:val="20"/>
                <w:szCs w:val="20"/>
              </w:rPr>
            </w:pPr>
            <w:r w:rsidRPr="009A41C9">
              <w:rPr>
                <w:rFonts w:ascii="Verdana" w:eastAsia="Times New Roman" w:hAnsi="Verdana" w:cs="Times New Roman"/>
                <w:sz w:val="20"/>
                <w:szCs w:val="20"/>
              </w:rPr>
              <w:fldChar w:fldCharType="begin">
                <w:ffData>
                  <w:name w:val=""/>
                  <w:enabled/>
                  <w:calcOnExit w:val="0"/>
                  <w:checkBox>
                    <w:sizeAuto/>
                    <w:default w:val="0"/>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sidRPr="009A41C9">
              <w:rPr>
                <w:rFonts w:ascii="Verdana" w:eastAsia="Times New Roman" w:hAnsi="Verdana" w:cs="Times New Roman"/>
                <w:sz w:val="20"/>
                <w:szCs w:val="20"/>
              </w:rPr>
              <w:t xml:space="preserve"> </w:t>
            </w:r>
            <w:r w:rsidR="0063584C" w:rsidRPr="00096827">
              <w:rPr>
                <w:rFonts w:ascii="Verdana" w:eastAsia="Times New Roman" w:hAnsi="Verdana" w:cs="Times New Roman"/>
                <w:sz w:val="20"/>
                <w:szCs w:val="20"/>
              </w:rPr>
              <w:t>Positivo</w:t>
            </w:r>
          </w:p>
        </w:tc>
      </w:tr>
      <w:tr w:rsidR="00F47357" w:rsidRPr="00096827" w14:paraId="63DDECD6" w14:textId="77777777" w:rsidTr="0070003B">
        <w:trPr>
          <w:trHeight w:hRule="exact" w:val="1671"/>
        </w:trPr>
        <w:tc>
          <w:tcPr>
            <w:tcW w:w="2679" w:type="dxa"/>
            <w:gridSpan w:val="3"/>
            <w:tcBorders>
              <w:bottom w:val="single" w:sz="12" w:space="0" w:color="000000"/>
            </w:tcBorders>
            <w:shd w:val="clear" w:color="auto" w:fill="FFFFFF"/>
          </w:tcPr>
          <w:p w14:paraId="21DB220C" w14:textId="77777777" w:rsidR="00F47357" w:rsidRPr="00096827" w:rsidRDefault="00F47357" w:rsidP="00F47357">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 xml:space="preserve">Impacto </w:t>
            </w:r>
            <w:r>
              <w:rPr>
                <w:rFonts w:ascii="Verdana" w:eastAsia="Times New Roman" w:hAnsi="Verdana" w:cs="Arial"/>
                <w:b/>
                <w:bCs/>
                <w:color w:val="000000"/>
                <w:sz w:val="20"/>
                <w:szCs w:val="20"/>
              </w:rPr>
              <w:t>por razón de cambio climático</w:t>
            </w:r>
          </w:p>
        </w:tc>
        <w:tc>
          <w:tcPr>
            <w:tcW w:w="3132" w:type="dxa"/>
            <w:shd w:val="clear" w:color="auto" w:fill="FFFFFF"/>
          </w:tcPr>
          <w:p w14:paraId="6EB5F6FB" w14:textId="77777777" w:rsidR="00F47357" w:rsidRPr="00096827" w:rsidRDefault="00F47357" w:rsidP="00F47357">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 xml:space="preserve">La norma </w:t>
            </w:r>
            <w:r>
              <w:rPr>
                <w:rFonts w:ascii="Verdana" w:eastAsia="Times New Roman" w:hAnsi="Verdana" w:cs="Times New Roman"/>
                <w:sz w:val="20"/>
                <w:szCs w:val="20"/>
              </w:rPr>
              <w:t xml:space="preserve">no </w:t>
            </w:r>
            <w:r w:rsidRPr="00096827">
              <w:rPr>
                <w:rFonts w:ascii="Verdana" w:eastAsia="Times New Roman" w:hAnsi="Verdana" w:cs="Times New Roman"/>
                <w:sz w:val="20"/>
                <w:szCs w:val="20"/>
              </w:rPr>
              <w:t xml:space="preserve">tiene un impacto </w:t>
            </w:r>
            <w:r>
              <w:rPr>
                <w:rFonts w:ascii="Verdana" w:eastAsia="Times New Roman" w:hAnsi="Verdana" w:cs="Times New Roman"/>
                <w:sz w:val="20"/>
                <w:szCs w:val="20"/>
              </w:rPr>
              <w:t>por razón de cambio climático.</w:t>
            </w:r>
          </w:p>
        </w:tc>
        <w:tc>
          <w:tcPr>
            <w:tcW w:w="3672" w:type="dxa"/>
            <w:gridSpan w:val="2"/>
            <w:shd w:val="clear" w:color="auto" w:fill="FFFFFF"/>
          </w:tcPr>
          <w:p w14:paraId="6EF15F07"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 xml:space="preserve">Negativo </w:t>
            </w:r>
          </w:p>
          <w:p w14:paraId="3CD771D9"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9A41C9">
              <w:rPr>
                <w:rFonts w:ascii="Verdana" w:eastAsia="Times New Roman" w:hAnsi="Verdana" w:cs="Times New Roman"/>
                <w:sz w:val="20"/>
                <w:szCs w:val="20"/>
              </w:rPr>
              <w:fldChar w:fldCharType="begin">
                <w:ffData>
                  <w:name w:val=""/>
                  <w:enabled/>
                  <w:calcOnExit w:val="0"/>
                  <w:checkBox>
                    <w:sizeAuto/>
                    <w:default w:val="1"/>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Pr>
                <w:rFonts w:ascii="Verdana" w:eastAsia="Times New Roman" w:hAnsi="Verdana" w:cs="Times New Roman"/>
                <w:sz w:val="20"/>
                <w:szCs w:val="20"/>
              </w:rPr>
              <w:t xml:space="preserve"> </w:t>
            </w:r>
            <w:r w:rsidRPr="00096827">
              <w:rPr>
                <w:rFonts w:ascii="Verdana" w:eastAsia="Times New Roman" w:hAnsi="Verdana" w:cs="Times New Roman"/>
                <w:sz w:val="20"/>
                <w:szCs w:val="20"/>
              </w:rPr>
              <w:t>Nulo</w:t>
            </w:r>
          </w:p>
          <w:p w14:paraId="28446B87" w14:textId="303777A9"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Arial"/>
                <w:sz w:val="20"/>
                <w:szCs w:val="20"/>
              </w:rPr>
            </w:pPr>
            <w:r w:rsidRPr="009A41C9">
              <w:rPr>
                <w:rFonts w:ascii="Verdana" w:eastAsia="Times New Roman" w:hAnsi="Verdana" w:cs="Times New Roman"/>
                <w:sz w:val="20"/>
                <w:szCs w:val="20"/>
              </w:rPr>
              <w:fldChar w:fldCharType="begin">
                <w:ffData>
                  <w:name w:val=""/>
                  <w:enabled/>
                  <w:calcOnExit w:val="0"/>
                  <w:checkBox>
                    <w:sizeAuto/>
                    <w:default w:val="0"/>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sidRPr="009A41C9">
              <w:rPr>
                <w:rFonts w:ascii="Verdana" w:eastAsia="Times New Roman" w:hAnsi="Verdana" w:cs="Times New Roman"/>
                <w:sz w:val="20"/>
                <w:szCs w:val="20"/>
              </w:rPr>
              <w:t xml:space="preserve"> </w:t>
            </w:r>
            <w:r w:rsidRPr="00096827">
              <w:rPr>
                <w:rFonts w:ascii="Verdana" w:eastAsia="Times New Roman" w:hAnsi="Verdana" w:cs="Times New Roman"/>
                <w:sz w:val="20"/>
                <w:szCs w:val="20"/>
              </w:rPr>
              <w:t>Positivo</w:t>
            </w:r>
          </w:p>
        </w:tc>
      </w:tr>
      <w:tr w:rsidR="00F47357" w:rsidRPr="00096827" w14:paraId="39FFBE94" w14:textId="77777777" w:rsidTr="0070003B">
        <w:trPr>
          <w:trHeight w:hRule="exact" w:val="1671"/>
        </w:trPr>
        <w:tc>
          <w:tcPr>
            <w:tcW w:w="2679" w:type="dxa"/>
            <w:gridSpan w:val="3"/>
            <w:tcBorders>
              <w:bottom w:val="single" w:sz="12" w:space="0" w:color="000000"/>
            </w:tcBorders>
            <w:shd w:val="clear" w:color="auto" w:fill="FFFFFF"/>
          </w:tcPr>
          <w:p w14:paraId="53D3C2EE" w14:textId="730E6389" w:rsidR="00F47357" w:rsidRPr="00096827" w:rsidRDefault="00F47357" w:rsidP="00F47357">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F47357">
              <w:rPr>
                <w:rFonts w:ascii="Verdana" w:eastAsia="Times New Roman" w:hAnsi="Verdana" w:cs="Arial"/>
                <w:b/>
                <w:bCs/>
                <w:color w:val="000000"/>
                <w:sz w:val="20"/>
                <w:szCs w:val="20"/>
              </w:rPr>
              <w:t>Impacto a la infancia y a la adolescencia</w:t>
            </w:r>
          </w:p>
        </w:tc>
        <w:tc>
          <w:tcPr>
            <w:tcW w:w="3132" w:type="dxa"/>
            <w:shd w:val="clear" w:color="auto" w:fill="FFFFFF"/>
          </w:tcPr>
          <w:p w14:paraId="7DEA0198" w14:textId="556AA6C3" w:rsidR="00F47357" w:rsidRPr="00096827" w:rsidRDefault="00F47357" w:rsidP="00F47357">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 xml:space="preserve">La norma </w:t>
            </w:r>
            <w:r>
              <w:rPr>
                <w:rFonts w:ascii="Verdana" w:eastAsia="Times New Roman" w:hAnsi="Verdana" w:cs="Times New Roman"/>
                <w:sz w:val="20"/>
                <w:szCs w:val="20"/>
              </w:rPr>
              <w:t xml:space="preserve">no </w:t>
            </w:r>
            <w:r w:rsidRPr="00096827">
              <w:rPr>
                <w:rFonts w:ascii="Verdana" w:eastAsia="Times New Roman" w:hAnsi="Verdana" w:cs="Times New Roman"/>
                <w:sz w:val="20"/>
                <w:szCs w:val="20"/>
              </w:rPr>
              <w:t xml:space="preserve">tiene impacto </w:t>
            </w:r>
            <w:r>
              <w:rPr>
                <w:rFonts w:ascii="Verdana" w:eastAsia="Times New Roman" w:hAnsi="Verdana" w:cs="Times New Roman"/>
                <w:sz w:val="20"/>
                <w:szCs w:val="20"/>
              </w:rPr>
              <w:t>sobre la infancia y la adolescencia.</w:t>
            </w:r>
          </w:p>
        </w:tc>
        <w:tc>
          <w:tcPr>
            <w:tcW w:w="3672" w:type="dxa"/>
            <w:gridSpan w:val="2"/>
            <w:shd w:val="clear" w:color="auto" w:fill="FFFFFF"/>
          </w:tcPr>
          <w:p w14:paraId="62B850BD"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 xml:space="preserve">Negativo </w:t>
            </w:r>
          </w:p>
          <w:p w14:paraId="53FE3F32"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9A41C9">
              <w:rPr>
                <w:rFonts w:ascii="Verdana" w:eastAsia="Times New Roman" w:hAnsi="Verdana" w:cs="Times New Roman"/>
                <w:sz w:val="20"/>
                <w:szCs w:val="20"/>
              </w:rPr>
              <w:fldChar w:fldCharType="begin">
                <w:ffData>
                  <w:name w:val=""/>
                  <w:enabled/>
                  <w:calcOnExit w:val="0"/>
                  <w:checkBox>
                    <w:sizeAuto/>
                    <w:default w:val="1"/>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Pr>
                <w:rFonts w:ascii="Verdana" w:eastAsia="Times New Roman" w:hAnsi="Verdana" w:cs="Times New Roman"/>
                <w:sz w:val="20"/>
                <w:szCs w:val="20"/>
              </w:rPr>
              <w:t xml:space="preserve"> </w:t>
            </w:r>
            <w:r w:rsidRPr="00096827">
              <w:rPr>
                <w:rFonts w:ascii="Verdana" w:eastAsia="Times New Roman" w:hAnsi="Verdana" w:cs="Times New Roman"/>
                <w:sz w:val="20"/>
                <w:szCs w:val="20"/>
              </w:rPr>
              <w:t>Nulo</w:t>
            </w:r>
          </w:p>
          <w:p w14:paraId="6105E3C4" w14:textId="5BCB4784"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Arial"/>
                <w:sz w:val="20"/>
                <w:szCs w:val="20"/>
              </w:rPr>
            </w:pPr>
            <w:r w:rsidRPr="009A41C9">
              <w:rPr>
                <w:rFonts w:ascii="Verdana" w:eastAsia="Times New Roman" w:hAnsi="Verdana" w:cs="Times New Roman"/>
                <w:sz w:val="20"/>
                <w:szCs w:val="20"/>
              </w:rPr>
              <w:fldChar w:fldCharType="begin">
                <w:ffData>
                  <w:name w:val=""/>
                  <w:enabled/>
                  <w:calcOnExit w:val="0"/>
                  <w:checkBox>
                    <w:sizeAuto/>
                    <w:default w:val="0"/>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sidRPr="009A41C9">
              <w:rPr>
                <w:rFonts w:ascii="Verdana" w:eastAsia="Times New Roman" w:hAnsi="Verdana" w:cs="Times New Roman"/>
                <w:sz w:val="20"/>
                <w:szCs w:val="20"/>
              </w:rPr>
              <w:t xml:space="preserve"> </w:t>
            </w:r>
            <w:r w:rsidRPr="00096827">
              <w:rPr>
                <w:rFonts w:ascii="Verdana" w:eastAsia="Times New Roman" w:hAnsi="Verdana" w:cs="Times New Roman"/>
                <w:sz w:val="20"/>
                <w:szCs w:val="20"/>
              </w:rPr>
              <w:t>Positivo</w:t>
            </w:r>
          </w:p>
        </w:tc>
      </w:tr>
      <w:tr w:rsidR="00F47357" w:rsidRPr="00096827" w14:paraId="3A9BEA5E" w14:textId="77777777" w:rsidTr="0070003B">
        <w:trPr>
          <w:trHeight w:hRule="exact" w:val="1671"/>
        </w:trPr>
        <w:tc>
          <w:tcPr>
            <w:tcW w:w="2679" w:type="dxa"/>
            <w:gridSpan w:val="3"/>
            <w:tcBorders>
              <w:bottom w:val="single" w:sz="12" w:space="0" w:color="000000"/>
            </w:tcBorders>
            <w:shd w:val="clear" w:color="auto" w:fill="FFFFFF"/>
          </w:tcPr>
          <w:p w14:paraId="35FEFEAA" w14:textId="559C74A2" w:rsidR="00F47357" w:rsidRPr="00096827" w:rsidRDefault="00F47357" w:rsidP="00F47357">
            <w:pPr>
              <w:widowControl w:val="0"/>
              <w:autoSpaceDE w:val="0"/>
              <w:autoSpaceDN w:val="0"/>
              <w:adjustRightInd w:val="0"/>
              <w:spacing w:before="120" w:after="0" w:line="360" w:lineRule="auto"/>
              <w:ind w:left="91" w:right="-20"/>
              <w:rPr>
                <w:rFonts w:ascii="Verdana" w:eastAsia="Times New Roman" w:hAnsi="Verdana" w:cs="Arial"/>
                <w:b/>
                <w:bCs/>
                <w:color w:val="000000"/>
                <w:sz w:val="20"/>
                <w:szCs w:val="20"/>
              </w:rPr>
            </w:pPr>
            <w:r w:rsidRPr="00096827">
              <w:rPr>
                <w:rFonts w:ascii="Verdana" w:eastAsia="Times New Roman" w:hAnsi="Verdana" w:cs="Arial"/>
                <w:b/>
                <w:bCs/>
                <w:color w:val="000000"/>
                <w:sz w:val="20"/>
                <w:szCs w:val="20"/>
              </w:rPr>
              <w:t xml:space="preserve">Impacto </w:t>
            </w:r>
            <w:r w:rsidRPr="00F47357">
              <w:rPr>
                <w:rFonts w:ascii="Verdana" w:eastAsia="Times New Roman" w:hAnsi="Verdana" w:cs="Arial"/>
                <w:b/>
                <w:bCs/>
                <w:color w:val="000000"/>
                <w:sz w:val="20"/>
                <w:szCs w:val="20"/>
              </w:rPr>
              <w:t>a la familia</w:t>
            </w:r>
          </w:p>
        </w:tc>
        <w:tc>
          <w:tcPr>
            <w:tcW w:w="3132" w:type="dxa"/>
            <w:shd w:val="clear" w:color="auto" w:fill="FFFFFF"/>
          </w:tcPr>
          <w:p w14:paraId="127C9C99" w14:textId="15FA8D60" w:rsidR="00F47357" w:rsidRPr="00096827" w:rsidRDefault="00F47357" w:rsidP="00F47357">
            <w:pPr>
              <w:widowControl w:val="0"/>
              <w:autoSpaceDE w:val="0"/>
              <w:autoSpaceDN w:val="0"/>
              <w:adjustRightInd w:val="0"/>
              <w:spacing w:before="120" w:after="0" w:line="360" w:lineRule="auto"/>
              <w:ind w:left="101" w:right="142"/>
              <w:jc w:val="both"/>
              <w:rPr>
                <w:rFonts w:ascii="Verdana" w:eastAsia="Times New Roman" w:hAnsi="Verdana" w:cs="Times New Roman"/>
                <w:sz w:val="20"/>
                <w:szCs w:val="20"/>
              </w:rPr>
            </w:pPr>
            <w:r w:rsidRPr="00096827">
              <w:rPr>
                <w:rFonts w:ascii="Verdana" w:eastAsia="Times New Roman" w:hAnsi="Verdana" w:cs="Times New Roman"/>
                <w:sz w:val="20"/>
                <w:szCs w:val="20"/>
              </w:rPr>
              <w:t xml:space="preserve">La norma </w:t>
            </w:r>
            <w:r>
              <w:rPr>
                <w:rFonts w:ascii="Verdana" w:eastAsia="Times New Roman" w:hAnsi="Verdana" w:cs="Times New Roman"/>
                <w:sz w:val="20"/>
                <w:szCs w:val="20"/>
              </w:rPr>
              <w:t xml:space="preserve">no </w:t>
            </w:r>
            <w:r w:rsidRPr="00096827">
              <w:rPr>
                <w:rFonts w:ascii="Verdana" w:eastAsia="Times New Roman" w:hAnsi="Verdana" w:cs="Times New Roman"/>
                <w:sz w:val="20"/>
                <w:szCs w:val="20"/>
              </w:rPr>
              <w:t xml:space="preserve">tiene impacto </w:t>
            </w:r>
            <w:r>
              <w:rPr>
                <w:rFonts w:ascii="Verdana" w:eastAsia="Times New Roman" w:hAnsi="Verdana" w:cs="Times New Roman"/>
                <w:sz w:val="20"/>
                <w:szCs w:val="20"/>
              </w:rPr>
              <w:t>sobre la familia.</w:t>
            </w:r>
          </w:p>
        </w:tc>
        <w:tc>
          <w:tcPr>
            <w:tcW w:w="3672" w:type="dxa"/>
            <w:gridSpan w:val="2"/>
            <w:shd w:val="clear" w:color="auto" w:fill="FFFFFF"/>
          </w:tcPr>
          <w:p w14:paraId="560F44A0"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096827">
              <w:rPr>
                <w:rFonts w:ascii="Verdana" w:eastAsia="Times New Roman" w:hAnsi="Verdana" w:cs="Arial"/>
                <w:sz w:val="20"/>
                <w:szCs w:val="20"/>
              </w:rPr>
              <w:fldChar w:fldCharType="begin">
                <w:ffData>
                  <w:name w:val=""/>
                  <w:enabled/>
                  <w:calcOnExit w:val="0"/>
                  <w:checkBox>
                    <w:sizeAuto/>
                    <w:default w:val="0"/>
                  </w:checkBox>
                </w:ffData>
              </w:fldChar>
            </w:r>
            <w:r w:rsidRPr="00096827">
              <w:rPr>
                <w:rFonts w:ascii="Verdana" w:eastAsia="Times New Roman" w:hAnsi="Verdana" w:cs="Arial"/>
                <w:sz w:val="20"/>
                <w:szCs w:val="20"/>
              </w:rPr>
              <w:instrText xml:space="preserve"> FORMCHECKBOX </w:instrText>
            </w:r>
            <w:r w:rsidR="00000000">
              <w:rPr>
                <w:rFonts w:ascii="Verdana" w:eastAsia="Times New Roman" w:hAnsi="Verdana" w:cs="Arial"/>
                <w:sz w:val="20"/>
                <w:szCs w:val="20"/>
              </w:rPr>
            </w:r>
            <w:r w:rsidR="00000000">
              <w:rPr>
                <w:rFonts w:ascii="Verdana" w:eastAsia="Times New Roman" w:hAnsi="Verdana" w:cs="Arial"/>
                <w:sz w:val="20"/>
                <w:szCs w:val="20"/>
              </w:rPr>
              <w:fldChar w:fldCharType="separate"/>
            </w:r>
            <w:r w:rsidRPr="00096827">
              <w:rPr>
                <w:rFonts w:ascii="Verdana" w:eastAsia="Times New Roman" w:hAnsi="Verdana" w:cs="Arial"/>
                <w:sz w:val="20"/>
                <w:szCs w:val="20"/>
              </w:rPr>
              <w:fldChar w:fldCharType="end"/>
            </w:r>
            <w:r w:rsidRPr="00096827">
              <w:rPr>
                <w:rFonts w:ascii="Verdana" w:eastAsia="Times New Roman" w:hAnsi="Verdana" w:cs="Arial"/>
                <w:sz w:val="20"/>
                <w:szCs w:val="20"/>
              </w:rPr>
              <w:t xml:space="preserve"> </w:t>
            </w:r>
            <w:r w:rsidRPr="00096827">
              <w:rPr>
                <w:rFonts w:ascii="Verdana" w:eastAsia="Times New Roman" w:hAnsi="Verdana" w:cs="Times New Roman"/>
                <w:sz w:val="20"/>
                <w:szCs w:val="20"/>
              </w:rPr>
              <w:t xml:space="preserve">Negativo </w:t>
            </w:r>
          </w:p>
          <w:p w14:paraId="22C8941B" w14:textId="77777777"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Times New Roman"/>
                <w:sz w:val="20"/>
                <w:szCs w:val="20"/>
              </w:rPr>
            </w:pPr>
            <w:r w:rsidRPr="009A41C9">
              <w:rPr>
                <w:rFonts w:ascii="Verdana" w:eastAsia="Times New Roman" w:hAnsi="Verdana" w:cs="Times New Roman"/>
                <w:sz w:val="20"/>
                <w:szCs w:val="20"/>
              </w:rPr>
              <w:fldChar w:fldCharType="begin">
                <w:ffData>
                  <w:name w:val=""/>
                  <w:enabled/>
                  <w:calcOnExit w:val="0"/>
                  <w:checkBox>
                    <w:sizeAuto/>
                    <w:default w:val="1"/>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Pr>
                <w:rFonts w:ascii="Verdana" w:eastAsia="Times New Roman" w:hAnsi="Verdana" w:cs="Times New Roman"/>
                <w:sz w:val="20"/>
                <w:szCs w:val="20"/>
              </w:rPr>
              <w:t xml:space="preserve"> </w:t>
            </w:r>
            <w:r w:rsidRPr="00096827">
              <w:rPr>
                <w:rFonts w:ascii="Verdana" w:eastAsia="Times New Roman" w:hAnsi="Verdana" w:cs="Times New Roman"/>
                <w:sz w:val="20"/>
                <w:szCs w:val="20"/>
              </w:rPr>
              <w:t>Nulo</w:t>
            </w:r>
          </w:p>
          <w:p w14:paraId="53A34BB3" w14:textId="03E68B75" w:rsidR="00F47357" w:rsidRPr="00096827" w:rsidRDefault="00F47357" w:rsidP="00F47357">
            <w:pPr>
              <w:widowControl w:val="0"/>
              <w:autoSpaceDE w:val="0"/>
              <w:autoSpaceDN w:val="0"/>
              <w:adjustRightInd w:val="0"/>
              <w:spacing w:before="120" w:after="0" w:line="360" w:lineRule="auto"/>
              <w:ind w:left="101" w:right="32"/>
              <w:jc w:val="both"/>
              <w:rPr>
                <w:rFonts w:ascii="Verdana" w:eastAsia="Times New Roman" w:hAnsi="Verdana" w:cs="Arial"/>
                <w:sz w:val="20"/>
                <w:szCs w:val="20"/>
              </w:rPr>
            </w:pPr>
            <w:r w:rsidRPr="009A41C9">
              <w:rPr>
                <w:rFonts w:ascii="Verdana" w:eastAsia="Times New Roman" w:hAnsi="Verdana" w:cs="Times New Roman"/>
                <w:sz w:val="20"/>
                <w:szCs w:val="20"/>
              </w:rPr>
              <w:fldChar w:fldCharType="begin">
                <w:ffData>
                  <w:name w:val=""/>
                  <w:enabled/>
                  <w:calcOnExit w:val="0"/>
                  <w:checkBox>
                    <w:sizeAuto/>
                    <w:default w:val="0"/>
                  </w:checkBox>
                </w:ffData>
              </w:fldChar>
            </w:r>
            <w:r w:rsidRPr="009A41C9">
              <w:rPr>
                <w:rFonts w:ascii="Verdana" w:eastAsia="Times New Roman" w:hAnsi="Verdana" w:cs="Times New Roman"/>
                <w:sz w:val="20"/>
                <w:szCs w:val="20"/>
              </w:rPr>
              <w:instrText xml:space="preserve"> FORMCHECKBOX </w:instrText>
            </w:r>
            <w:r w:rsidR="00000000">
              <w:rPr>
                <w:rFonts w:ascii="Verdana" w:eastAsia="Times New Roman" w:hAnsi="Verdana" w:cs="Times New Roman"/>
                <w:sz w:val="20"/>
                <w:szCs w:val="20"/>
              </w:rPr>
            </w:r>
            <w:r w:rsidR="00000000">
              <w:rPr>
                <w:rFonts w:ascii="Verdana" w:eastAsia="Times New Roman" w:hAnsi="Verdana" w:cs="Times New Roman"/>
                <w:sz w:val="20"/>
                <w:szCs w:val="20"/>
              </w:rPr>
              <w:fldChar w:fldCharType="separate"/>
            </w:r>
            <w:r w:rsidRPr="009A41C9">
              <w:rPr>
                <w:rFonts w:ascii="Verdana" w:eastAsia="Times New Roman" w:hAnsi="Verdana" w:cs="Times New Roman"/>
                <w:sz w:val="20"/>
                <w:szCs w:val="20"/>
              </w:rPr>
              <w:fldChar w:fldCharType="end"/>
            </w:r>
            <w:r w:rsidRPr="009A41C9">
              <w:rPr>
                <w:rFonts w:ascii="Verdana" w:eastAsia="Times New Roman" w:hAnsi="Verdana" w:cs="Times New Roman"/>
                <w:sz w:val="20"/>
                <w:szCs w:val="20"/>
              </w:rPr>
              <w:t xml:space="preserve"> </w:t>
            </w:r>
            <w:r w:rsidRPr="00096827">
              <w:rPr>
                <w:rFonts w:ascii="Verdana" w:eastAsia="Times New Roman" w:hAnsi="Verdana" w:cs="Times New Roman"/>
                <w:sz w:val="20"/>
                <w:szCs w:val="20"/>
              </w:rPr>
              <w:t>Positivo</w:t>
            </w:r>
          </w:p>
        </w:tc>
      </w:tr>
    </w:tbl>
    <w:p w14:paraId="0A7AF7E9" w14:textId="77777777" w:rsidR="0063584C" w:rsidRPr="00096827" w:rsidRDefault="0063584C" w:rsidP="0063584C">
      <w:pPr>
        <w:keepNext/>
        <w:pageBreakBefore/>
        <w:numPr>
          <w:ilvl w:val="0"/>
          <w:numId w:val="1"/>
        </w:numPr>
        <w:pBdr>
          <w:bottom w:val="single" w:sz="4" w:space="1" w:color="008080"/>
        </w:pBdr>
        <w:spacing w:before="120" w:after="480" w:line="240" w:lineRule="auto"/>
        <w:jc w:val="both"/>
        <w:outlineLvl w:val="0"/>
        <w:rPr>
          <w:rFonts w:ascii="Verdana" w:eastAsia="Times New Roman" w:hAnsi="Verdana" w:cs="Arial"/>
          <w:b/>
          <w:caps/>
          <w:szCs w:val="28"/>
          <w:lang w:eastAsia="es-ES"/>
        </w:rPr>
      </w:pPr>
      <w:bookmarkStart w:id="9" w:name="_Toc342985070"/>
      <w:r w:rsidRPr="00096827">
        <w:rPr>
          <w:rFonts w:ascii="Verdana" w:eastAsia="Times New Roman" w:hAnsi="Verdana" w:cs="Arial"/>
          <w:b/>
          <w:caps/>
          <w:szCs w:val="28"/>
          <w:lang w:eastAsia="es-ES"/>
        </w:rPr>
        <w:lastRenderedPageBreak/>
        <w:t>MEMORIA</w:t>
      </w:r>
      <w:bookmarkEnd w:id="9"/>
    </w:p>
    <w:p w14:paraId="2A855E5E" w14:textId="51B799C8" w:rsidR="0063584C" w:rsidRPr="00DC332E" w:rsidRDefault="0063584C" w:rsidP="0063584C">
      <w:pPr>
        <w:keepNext/>
        <w:numPr>
          <w:ilvl w:val="0"/>
          <w:numId w:val="2"/>
        </w:numPr>
        <w:spacing w:before="240" w:after="240" w:line="360" w:lineRule="auto"/>
        <w:ind w:hanging="720"/>
        <w:jc w:val="both"/>
        <w:outlineLvl w:val="1"/>
        <w:rPr>
          <w:rFonts w:ascii="Verdana" w:eastAsia="Times New Roman" w:hAnsi="Verdana" w:cs="Arial"/>
          <w:b/>
          <w:bCs/>
          <w:iCs/>
          <w:szCs w:val="24"/>
          <w:u w:val="single"/>
          <w:lang w:eastAsia="es-ES"/>
        </w:rPr>
      </w:pPr>
      <w:bookmarkStart w:id="10" w:name="_Toc342985071"/>
      <w:r w:rsidRPr="00DC332E">
        <w:rPr>
          <w:rFonts w:ascii="Verdana" w:eastAsia="Times New Roman" w:hAnsi="Verdana" w:cs="Arial"/>
          <w:b/>
          <w:bCs/>
          <w:iCs/>
          <w:szCs w:val="24"/>
          <w:u w:val="single"/>
          <w:lang w:eastAsia="es-ES"/>
        </w:rPr>
        <w:t xml:space="preserve">JUSTIFICACIÓN </w:t>
      </w:r>
      <w:r w:rsidR="00431B0E" w:rsidRPr="00DC332E">
        <w:rPr>
          <w:rFonts w:ascii="Verdana" w:eastAsia="Times New Roman" w:hAnsi="Verdana" w:cs="Arial"/>
          <w:b/>
          <w:bCs/>
          <w:iCs/>
          <w:szCs w:val="24"/>
          <w:u w:val="single"/>
          <w:lang w:eastAsia="es-ES"/>
        </w:rPr>
        <w:t>DEL CARÁCTER ABREVIADO DE LA MAIN</w:t>
      </w:r>
      <w:r w:rsidRPr="00DC332E">
        <w:rPr>
          <w:rFonts w:ascii="Verdana" w:eastAsia="Times New Roman" w:hAnsi="Verdana" w:cs="Arial"/>
          <w:b/>
          <w:bCs/>
          <w:iCs/>
          <w:szCs w:val="24"/>
          <w:u w:val="single"/>
          <w:lang w:eastAsia="es-ES"/>
        </w:rPr>
        <w:t>.</w:t>
      </w:r>
      <w:bookmarkEnd w:id="10"/>
    </w:p>
    <w:p w14:paraId="598202E1" w14:textId="06BB7A5C" w:rsidR="0063584C" w:rsidRPr="00096827" w:rsidRDefault="00F47357" w:rsidP="0063584C">
      <w:pPr>
        <w:spacing w:before="120" w:after="120" w:line="360" w:lineRule="auto"/>
        <w:jc w:val="both"/>
        <w:rPr>
          <w:rFonts w:ascii="Verdana" w:eastAsia="Times New Roman" w:hAnsi="Verdana" w:cs="Times New Roman"/>
        </w:rPr>
      </w:pPr>
      <w:r w:rsidRPr="00F47357">
        <w:rPr>
          <w:rFonts w:ascii="Verdana" w:eastAsia="Times New Roman" w:hAnsi="Verdana" w:cs="Times New Roman"/>
        </w:rPr>
        <w:t xml:space="preserve">La finalidad de la norma propuesta es la </w:t>
      </w:r>
      <w:r w:rsidR="008A6720">
        <w:rPr>
          <w:rFonts w:ascii="Verdana" w:eastAsia="Times New Roman" w:hAnsi="Verdana" w:cs="Times New Roman"/>
        </w:rPr>
        <w:t xml:space="preserve">adecuación de la norma que regula el cese de </w:t>
      </w:r>
      <w:proofErr w:type="gramStart"/>
      <w:r w:rsidR="008A6720">
        <w:rPr>
          <w:rFonts w:ascii="Verdana" w:eastAsia="Times New Roman" w:hAnsi="Verdana" w:cs="Times New Roman"/>
        </w:rPr>
        <w:t>los funcionarios y funcionarias</w:t>
      </w:r>
      <w:proofErr w:type="gramEnd"/>
      <w:r w:rsidR="008A6720">
        <w:rPr>
          <w:rFonts w:ascii="Verdana" w:eastAsia="Times New Roman" w:hAnsi="Verdana" w:cs="Times New Roman"/>
        </w:rPr>
        <w:t xml:space="preserve"> interinas a la nueva situación tras la implantación de </w:t>
      </w:r>
      <w:r w:rsidR="00216FFA">
        <w:rPr>
          <w:rFonts w:ascii="Verdana" w:eastAsia="Times New Roman" w:hAnsi="Verdana" w:cs="Times New Roman"/>
        </w:rPr>
        <w:t xml:space="preserve">las </w:t>
      </w:r>
      <w:r w:rsidR="00216FFA" w:rsidRPr="00216FFA">
        <w:rPr>
          <w:rFonts w:ascii="Verdana" w:hAnsi="Verdana"/>
        </w:rPr>
        <w:t>Oficinas</w:t>
      </w:r>
      <w:r w:rsidR="008A6720" w:rsidRPr="008A6720">
        <w:rPr>
          <w:rFonts w:ascii="Verdana" w:eastAsia="Times New Roman" w:hAnsi="Verdana" w:cs="Times New Roman"/>
        </w:rPr>
        <w:t xml:space="preserve"> de Justicia en </w:t>
      </w:r>
      <w:r w:rsidR="00216FFA">
        <w:rPr>
          <w:rFonts w:ascii="Verdana" w:eastAsia="Times New Roman" w:hAnsi="Verdana" w:cs="Times New Roman"/>
        </w:rPr>
        <w:t xml:space="preserve">el </w:t>
      </w:r>
      <w:r w:rsidR="00B8262C">
        <w:rPr>
          <w:rFonts w:ascii="Verdana" w:eastAsia="Times New Roman" w:hAnsi="Verdana" w:cs="Times New Roman"/>
        </w:rPr>
        <w:t>Municipio</w:t>
      </w:r>
      <w:r w:rsidR="00B8262C" w:rsidRPr="008A6720">
        <w:rPr>
          <w:rFonts w:ascii="Verdana" w:eastAsia="Times New Roman" w:hAnsi="Verdana" w:cs="Times New Roman"/>
        </w:rPr>
        <w:t>, Oficinas</w:t>
      </w:r>
      <w:r w:rsidR="008A6720" w:rsidRPr="008A6720">
        <w:rPr>
          <w:rFonts w:ascii="Verdana" w:eastAsia="Times New Roman" w:hAnsi="Verdana" w:cs="Times New Roman"/>
        </w:rPr>
        <w:t xml:space="preserve"> </w:t>
      </w:r>
      <w:r w:rsidR="00B8262C">
        <w:rPr>
          <w:rFonts w:ascii="Verdana" w:eastAsia="Times New Roman" w:hAnsi="Verdana" w:cs="Times New Roman"/>
        </w:rPr>
        <w:t>J</w:t>
      </w:r>
      <w:r w:rsidR="008A6720" w:rsidRPr="008A6720">
        <w:rPr>
          <w:rFonts w:ascii="Verdana" w:eastAsia="Times New Roman" w:hAnsi="Verdana" w:cs="Times New Roman"/>
        </w:rPr>
        <w:t>udiciales y Oficinas del Registro Civi</w:t>
      </w:r>
      <w:r w:rsidR="008A6720">
        <w:rPr>
          <w:rFonts w:ascii="Verdana" w:eastAsia="Times New Roman" w:hAnsi="Verdana" w:cs="Times New Roman"/>
        </w:rPr>
        <w:t>l,</w:t>
      </w:r>
      <w:r w:rsidRPr="00F47357">
        <w:rPr>
          <w:rFonts w:ascii="Verdana" w:eastAsia="Times New Roman" w:hAnsi="Verdana" w:cs="Times New Roman"/>
        </w:rPr>
        <w:t xml:space="preserve"> por lo que no se derivan impactos o estos no son apreciables, en ninguno de los ámbitos enunciados en el artículo 2 del Real Decreto 931/2017, de 27 de octubre, por el que se regula la Memoria de Análisis de Impacto Normativo</w:t>
      </w:r>
      <w:r>
        <w:rPr>
          <w:rFonts w:ascii="Verdana" w:eastAsia="Times New Roman" w:hAnsi="Verdana" w:cs="Times New Roman"/>
        </w:rPr>
        <w:t>.</w:t>
      </w:r>
    </w:p>
    <w:p w14:paraId="665045E5" w14:textId="77777777" w:rsidR="0063584C" w:rsidRDefault="0063584C" w:rsidP="0063584C">
      <w:pPr>
        <w:spacing w:before="120" w:after="120" w:line="360" w:lineRule="auto"/>
        <w:ind w:left="720"/>
        <w:jc w:val="both"/>
        <w:rPr>
          <w:rFonts w:ascii="Verdana" w:eastAsia="Times New Roman" w:hAnsi="Verdana" w:cs="Times New Roman"/>
        </w:rPr>
      </w:pPr>
    </w:p>
    <w:p w14:paraId="7FF0870B" w14:textId="388766B0" w:rsidR="009C04F5" w:rsidRPr="00096827" w:rsidRDefault="009C04F5" w:rsidP="009C04F5">
      <w:pPr>
        <w:keepNext/>
        <w:spacing w:before="240" w:after="240" w:line="360" w:lineRule="auto"/>
        <w:ind w:left="709" w:hanging="709"/>
        <w:jc w:val="both"/>
        <w:outlineLvl w:val="1"/>
        <w:rPr>
          <w:rFonts w:ascii="Verdana" w:eastAsia="Times New Roman" w:hAnsi="Verdana" w:cs="Arial"/>
          <w:b/>
          <w:bCs/>
          <w:iCs/>
          <w:szCs w:val="24"/>
          <w:lang w:eastAsia="es-ES"/>
        </w:rPr>
      </w:pPr>
      <w:r w:rsidRPr="00096827">
        <w:rPr>
          <w:rFonts w:ascii="Verdana" w:eastAsia="Times New Roman" w:hAnsi="Verdana" w:cs="Arial"/>
          <w:b/>
          <w:bCs/>
          <w:iCs/>
          <w:szCs w:val="24"/>
          <w:lang w:eastAsia="es-ES"/>
        </w:rPr>
        <w:t>I</w:t>
      </w:r>
      <w:r>
        <w:rPr>
          <w:rFonts w:ascii="Verdana" w:eastAsia="Times New Roman" w:hAnsi="Verdana" w:cs="Arial"/>
          <w:b/>
          <w:bCs/>
          <w:iCs/>
          <w:szCs w:val="24"/>
          <w:lang w:eastAsia="es-ES"/>
        </w:rPr>
        <w:t>I</w:t>
      </w:r>
      <w:r w:rsidRPr="00096827">
        <w:rPr>
          <w:rFonts w:ascii="Verdana" w:eastAsia="Times New Roman" w:hAnsi="Verdana" w:cs="Arial"/>
          <w:b/>
          <w:bCs/>
          <w:iCs/>
          <w:szCs w:val="24"/>
          <w:lang w:eastAsia="es-ES"/>
        </w:rPr>
        <w:t>.</w:t>
      </w:r>
      <w:r w:rsidRPr="00096827">
        <w:rPr>
          <w:rFonts w:ascii="Verdana" w:eastAsia="Times New Roman" w:hAnsi="Verdana" w:cs="Arial"/>
          <w:b/>
          <w:bCs/>
          <w:iCs/>
          <w:szCs w:val="24"/>
          <w:lang w:eastAsia="es-ES"/>
        </w:rPr>
        <w:tab/>
      </w:r>
      <w:r w:rsidRPr="00096827">
        <w:rPr>
          <w:rFonts w:ascii="Verdana" w:eastAsia="Times New Roman" w:hAnsi="Verdana" w:cs="Arial"/>
          <w:b/>
          <w:bCs/>
          <w:iCs/>
          <w:szCs w:val="24"/>
          <w:u w:val="single"/>
          <w:lang w:eastAsia="es-ES"/>
        </w:rPr>
        <w:t>OPORTUNIDAD DE LA NORMA.</w:t>
      </w:r>
    </w:p>
    <w:p w14:paraId="4979A728" w14:textId="77777777" w:rsidR="009C04F5" w:rsidRPr="00064A9E" w:rsidRDefault="009C04F5" w:rsidP="009C04F5">
      <w:pPr>
        <w:pStyle w:val="Prrafodelista"/>
        <w:numPr>
          <w:ilvl w:val="0"/>
          <w:numId w:val="14"/>
        </w:numPr>
        <w:spacing w:before="120" w:after="120" w:line="360" w:lineRule="auto"/>
        <w:jc w:val="both"/>
        <w:rPr>
          <w:rFonts w:ascii="Verdana" w:eastAsia="Times New Roman" w:hAnsi="Verdana" w:cs="Times New Roman"/>
          <w:b/>
          <w:bCs/>
          <w:color w:val="000000"/>
          <w:u w:val="single"/>
          <w:lang w:eastAsia="es-ES"/>
        </w:rPr>
      </w:pPr>
      <w:r w:rsidRPr="00064A9E">
        <w:rPr>
          <w:rFonts w:ascii="Verdana" w:eastAsia="Times New Roman" w:hAnsi="Verdana" w:cs="Times New Roman"/>
          <w:b/>
          <w:bCs/>
          <w:u w:val="single"/>
          <w:lang w:eastAsia="es-ES"/>
        </w:rPr>
        <w:t xml:space="preserve">Motivación.  </w:t>
      </w:r>
    </w:p>
    <w:p w14:paraId="7C70BF23" w14:textId="4C8A4973" w:rsidR="00F47357" w:rsidRPr="00F47357" w:rsidRDefault="00F47357" w:rsidP="00F47357">
      <w:pPr>
        <w:spacing w:before="120" w:after="120" w:line="360" w:lineRule="auto"/>
        <w:jc w:val="both"/>
        <w:rPr>
          <w:rFonts w:ascii="Verdana" w:eastAsia="Times New Roman" w:hAnsi="Verdana" w:cs="Times New Roman"/>
          <w:color w:val="000000"/>
          <w:lang w:eastAsia="es-ES"/>
        </w:rPr>
      </w:pPr>
      <w:r w:rsidRPr="00F47357">
        <w:rPr>
          <w:rFonts w:ascii="Verdana" w:eastAsia="Times New Roman" w:hAnsi="Verdana" w:cs="Times New Roman"/>
          <w:color w:val="000000"/>
          <w:lang w:eastAsia="es-ES"/>
        </w:rPr>
        <w:t>La aprobación de la Ley Orgánica 1/2025, de 2 de enero, de medidas en materia de eficiencia del Servicio Público de Justicia, supone un cambio estructural en la organización judicial de nuestro país. Entre otros contenidos, esta ley establece la creación y puesta en funcionamiento de los Tribunales de Instancia, que significan una profunda modificación organizativa de los órganos judiciales, con la reordenación de los puestos de trabajo de</w:t>
      </w:r>
      <w:r w:rsidR="00A02E45">
        <w:rPr>
          <w:rFonts w:ascii="Verdana" w:eastAsia="Times New Roman" w:hAnsi="Verdana" w:cs="Times New Roman"/>
          <w:color w:val="000000"/>
          <w:lang w:eastAsia="es-ES"/>
        </w:rPr>
        <w:t>l personal al servicio de la Administración de Justicia.</w:t>
      </w:r>
    </w:p>
    <w:p w14:paraId="4C2633E9" w14:textId="77777777" w:rsidR="00216FFA" w:rsidRDefault="00F47357" w:rsidP="00F47357">
      <w:pPr>
        <w:spacing w:before="120" w:after="120" w:line="360" w:lineRule="auto"/>
        <w:jc w:val="both"/>
        <w:rPr>
          <w:rFonts w:ascii="Verdana" w:eastAsia="Times New Roman" w:hAnsi="Verdana" w:cs="Times New Roman"/>
          <w:color w:val="000000"/>
          <w:lang w:val="es-ES_tradnl" w:eastAsia="es-ES"/>
        </w:rPr>
      </w:pPr>
      <w:r w:rsidRPr="00F47357">
        <w:rPr>
          <w:rFonts w:ascii="Verdana" w:eastAsia="Times New Roman" w:hAnsi="Verdana" w:cs="Times New Roman"/>
          <w:color w:val="000000"/>
          <w:lang w:eastAsia="es-ES"/>
        </w:rPr>
        <w:t xml:space="preserve">Esta modificación </w:t>
      </w:r>
      <w:r w:rsidR="00A02E45">
        <w:rPr>
          <w:rFonts w:ascii="Verdana" w:eastAsia="Times New Roman" w:hAnsi="Verdana" w:cs="Times New Roman"/>
          <w:color w:val="000000"/>
          <w:lang w:eastAsia="es-ES"/>
        </w:rPr>
        <w:t>traerá consigo una identificación singularizada de todos los puestos de trabajo que pondrá fin a</w:t>
      </w:r>
      <w:r w:rsidR="00A02E45">
        <w:rPr>
          <w:rFonts w:eastAsia="Times New Roman" w:cstheme="minorHAnsi"/>
          <w:lang w:val="es-ES_tradnl" w:eastAsia="es-ES"/>
          <w14:ligatures w14:val="none"/>
        </w:rPr>
        <w:t>l</w:t>
      </w:r>
      <w:r w:rsidR="00A02E45" w:rsidRPr="00A02E45">
        <w:rPr>
          <w:rFonts w:ascii="Verdana" w:eastAsia="Times New Roman" w:hAnsi="Verdana" w:cs="Times New Roman"/>
          <w:color w:val="000000"/>
          <w:lang w:val="es-ES_tradnl" w:eastAsia="es-ES"/>
        </w:rPr>
        <w:t xml:space="preserve"> anterior sistema de plantillas de los Juzgados y Tribunales </w:t>
      </w:r>
      <w:r w:rsidR="00A02E45">
        <w:rPr>
          <w:rFonts w:ascii="Verdana" w:eastAsia="Times New Roman" w:hAnsi="Verdana" w:cs="Times New Roman"/>
          <w:color w:val="000000"/>
          <w:lang w:val="es-ES_tradnl" w:eastAsia="es-ES"/>
        </w:rPr>
        <w:t xml:space="preserve">que </w:t>
      </w:r>
      <w:r w:rsidR="00A02E45" w:rsidRPr="00A02E45">
        <w:rPr>
          <w:rFonts w:ascii="Verdana" w:eastAsia="Times New Roman" w:hAnsi="Verdana" w:cs="Times New Roman"/>
          <w:color w:val="000000"/>
          <w:lang w:val="es-ES_tradnl" w:eastAsia="es-ES"/>
        </w:rPr>
        <w:t>dejaba cierta indefinición a la hora de identificar la plaza o puesto de trabajo en concreto que ocupaba el personal interino.</w:t>
      </w:r>
      <w:r w:rsidR="00A02E45">
        <w:rPr>
          <w:rFonts w:ascii="Verdana" w:eastAsia="Times New Roman" w:hAnsi="Verdana" w:cs="Times New Roman"/>
          <w:color w:val="000000"/>
          <w:lang w:val="es-ES_tradnl" w:eastAsia="es-ES"/>
        </w:rPr>
        <w:t xml:space="preserve"> Por ello, es preciso modificar la norma que regula los ceses </w:t>
      </w:r>
      <w:r w:rsidR="00A02E45" w:rsidRPr="00A02E45">
        <w:rPr>
          <w:rFonts w:ascii="Verdana" w:eastAsia="Times New Roman" w:hAnsi="Verdana" w:cs="Times New Roman"/>
          <w:color w:val="000000"/>
          <w:lang w:val="es-ES_tradnl" w:eastAsia="es-ES"/>
        </w:rPr>
        <w:t>de los funcionario</w:t>
      </w:r>
      <w:r w:rsidR="00216FFA">
        <w:rPr>
          <w:rFonts w:ascii="Verdana" w:eastAsia="Times New Roman" w:hAnsi="Verdana" w:cs="Times New Roman"/>
          <w:color w:val="000000"/>
          <w:lang w:val="es-ES_tradnl" w:eastAsia="es-ES"/>
        </w:rPr>
        <w:t>s</w:t>
      </w:r>
      <w:r w:rsidR="00A02E45" w:rsidRPr="00A02E45">
        <w:rPr>
          <w:rFonts w:ascii="Verdana" w:eastAsia="Times New Roman" w:hAnsi="Verdana" w:cs="Times New Roman"/>
          <w:color w:val="000000"/>
          <w:lang w:val="es-ES_tradnl" w:eastAsia="es-ES"/>
        </w:rPr>
        <w:t xml:space="preserve"> o funcionarias interinas</w:t>
      </w:r>
      <w:r w:rsidR="00216FFA">
        <w:rPr>
          <w:rFonts w:ascii="Verdana" w:eastAsia="Times New Roman" w:hAnsi="Verdana" w:cs="Times New Roman"/>
          <w:color w:val="000000"/>
          <w:lang w:val="es-ES_tradnl" w:eastAsia="es-ES"/>
        </w:rPr>
        <w:t>.</w:t>
      </w:r>
    </w:p>
    <w:p w14:paraId="6766E0E0" w14:textId="2FFAA718" w:rsidR="00A02E45" w:rsidRPr="00A02E45" w:rsidRDefault="00216FFA" w:rsidP="00F47357">
      <w:pPr>
        <w:spacing w:before="120" w:after="120" w:line="360" w:lineRule="auto"/>
        <w:jc w:val="both"/>
        <w:rPr>
          <w:rFonts w:ascii="Verdana" w:eastAsia="Times New Roman" w:hAnsi="Verdana" w:cs="Times New Roman"/>
          <w:color w:val="000000"/>
          <w:lang w:val="es-ES_tradnl" w:eastAsia="es-ES"/>
        </w:rPr>
      </w:pPr>
      <w:r>
        <w:rPr>
          <w:rFonts w:ascii="Verdana" w:eastAsia="Times New Roman" w:hAnsi="Verdana" w:cs="Times New Roman"/>
          <w:color w:val="000000"/>
          <w:lang w:val="es-ES_tradnl" w:eastAsia="es-ES"/>
        </w:rPr>
        <w:t xml:space="preserve">Actualmente, al no estar identificados los puestos de trabajo con un </w:t>
      </w:r>
      <w:r w:rsidR="006C1BF7">
        <w:rPr>
          <w:rFonts w:ascii="Verdana" w:eastAsia="Times New Roman" w:hAnsi="Verdana" w:cs="Times New Roman"/>
          <w:color w:val="000000"/>
          <w:lang w:val="es-ES_tradnl" w:eastAsia="es-ES"/>
        </w:rPr>
        <w:t>código los</w:t>
      </w:r>
      <w:r w:rsidR="00A02E45">
        <w:rPr>
          <w:rFonts w:ascii="Verdana" w:eastAsia="Times New Roman" w:hAnsi="Verdana" w:cs="Times New Roman"/>
          <w:color w:val="000000"/>
          <w:lang w:val="es-ES_tradnl" w:eastAsia="es-ES"/>
        </w:rPr>
        <w:t xml:space="preserve"> interinos </w:t>
      </w:r>
      <w:r w:rsidR="00A02E45" w:rsidRPr="00A02E45">
        <w:rPr>
          <w:rFonts w:ascii="Verdana" w:eastAsia="Times New Roman" w:hAnsi="Verdana" w:cs="Times New Roman"/>
          <w:color w:val="000000"/>
          <w:lang w:val="es-ES_tradnl" w:eastAsia="es-ES"/>
        </w:rPr>
        <w:t>cesen</w:t>
      </w:r>
      <w:r>
        <w:rPr>
          <w:rFonts w:ascii="Verdana" w:eastAsia="Times New Roman" w:hAnsi="Verdana" w:cs="Times New Roman"/>
          <w:color w:val="000000"/>
          <w:lang w:val="es-ES_tradnl" w:eastAsia="es-ES"/>
        </w:rPr>
        <w:t>,</w:t>
      </w:r>
      <w:r w:rsidR="00A02E45" w:rsidRPr="00A02E45">
        <w:rPr>
          <w:rFonts w:ascii="Verdana" w:eastAsia="Times New Roman" w:hAnsi="Verdana" w:cs="Times New Roman"/>
          <w:color w:val="000000"/>
          <w:lang w:val="es-ES_tradnl" w:eastAsia="es-ES"/>
        </w:rPr>
        <w:t xml:space="preserve"> como consecuencia de que la plaza que ocupaban temporalmente se ocupe por un funcionario de carrera, en el supuesto de</w:t>
      </w:r>
      <w:r w:rsidR="00A02E45" w:rsidRPr="00A02E45">
        <w:rPr>
          <w:rFonts w:eastAsia="Times New Roman" w:cstheme="minorHAnsi"/>
          <w:lang w:val="es-ES_tradnl" w:eastAsia="es-ES"/>
          <w14:ligatures w14:val="none"/>
        </w:rPr>
        <w:t xml:space="preserve"> </w:t>
      </w:r>
      <w:r w:rsidR="00A02E45" w:rsidRPr="00A02E45">
        <w:rPr>
          <w:rFonts w:ascii="Verdana" w:eastAsia="Times New Roman" w:hAnsi="Verdana" w:cs="Times New Roman"/>
          <w:color w:val="000000"/>
          <w:lang w:val="es-ES_tradnl" w:eastAsia="es-ES"/>
        </w:rPr>
        <w:t>que en la oficina o servicio hubiese más de un funcionario interino deberá cesar el que haya sido nombrado más recientemente</w:t>
      </w:r>
      <w:r w:rsidR="00A02E45">
        <w:rPr>
          <w:rFonts w:ascii="Verdana" w:eastAsia="Times New Roman" w:hAnsi="Verdana" w:cs="Times New Roman"/>
          <w:color w:val="000000"/>
          <w:lang w:val="es-ES_tradnl" w:eastAsia="es-ES"/>
        </w:rPr>
        <w:t>, debiendo indicarse que e</w:t>
      </w:r>
      <w:r w:rsidR="00A02E45" w:rsidRPr="00A02E45">
        <w:rPr>
          <w:rFonts w:ascii="Verdana" w:eastAsia="Times New Roman" w:hAnsi="Verdana" w:cs="Times New Roman"/>
          <w:color w:val="000000"/>
          <w:lang w:val="es-ES_tradnl" w:eastAsia="es-ES"/>
        </w:rPr>
        <w:t xml:space="preserve">n los casos en que la plaza que ocupa el interino o interina tenga asignado un </w:t>
      </w:r>
      <w:r w:rsidR="00A02E45" w:rsidRPr="00A02E45">
        <w:rPr>
          <w:rFonts w:ascii="Verdana" w:eastAsia="Times New Roman" w:hAnsi="Verdana" w:cs="Times New Roman"/>
          <w:color w:val="000000"/>
          <w:lang w:val="es-ES_tradnl" w:eastAsia="es-ES"/>
        </w:rPr>
        <w:lastRenderedPageBreak/>
        <w:t xml:space="preserve">código de puesto u otro sistema similar de identificación, cuando un funcionario o funcionaria titular pase a ocupar dicha plaza deberá cesar el interino o interina que la estuviera desempeñando. </w:t>
      </w:r>
      <w:r w:rsidR="00A02E45">
        <w:rPr>
          <w:rFonts w:ascii="Verdana" w:eastAsia="Times New Roman" w:hAnsi="Verdana" w:cs="Times New Roman"/>
          <w:color w:val="000000"/>
          <w:lang w:val="es-ES_tradnl" w:eastAsia="es-ES"/>
        </w:rPr>
        <w:t>Quedando el criterio utilizado hasta ahora como subsidiario por si pudiera existir algún puesto en el que no aparezca identificada de un modo indubitado la plaza que pasa a ocupar el funcionario o funcionaria titular.</w:t>
      </w:r>
    </w:p>
    <w:p w14:paraId="6E174B31" w14:textId="77777777" w:rsidR="00F47357" w:rsidRDefault="00F47357" w:rsidP="00F47357">
      <w:pPr>
        <w:spacing w:before="120" w:after="120" w:line="360" w:lineRule="auto"/>
        <w:ind w:firstLine="360"/>
        <w:jc w:val="both"/>
        <w:rPr>
          <w:rFonts w:ascii="Verdana" w:eastAsia="Times New Roman" w:hAnsi="Verdana" w:cs="Times New Roman"/>
          <w:color w:val="000000"/>
          <w:lang w:eastAsia="es-ES"/>
        </w:rPr>
      </w:pPr>
    </w:p>
    <w:p w14:paraId="45EA4746" w14:textId="77777777" w:rsidR="009C04F5" w:rsidRPr="00064A9E" w:rsidRDefault="009C04F5" w:rsidP="009C04F5">
      <w:pPr>
        <w:pStyle w:val="Prrafodelista"/>
        <w:numPr>
          <w:ilvl w:val="0"/>
          <w:numId w:val="14"/>
        </w:numPr>
        <w:spacing w:before="120" w:after="120" w:line="360" w:lineRule="auto"/>
        <w:jc w:val="both"/>
        <w:rPr>
          <w:rFonts w:ascii="Verdana" w:eastAsia="Times New Roman" w:hAnsi="Verdana" w:cs="Times New Roman"/>
          <w:b/>
          <w:bCs/>
          <w:color w:val="000000"/>
          <w:u w:val="single"/>
          <w:lang w:eastAsia="es-ES"/>
        </w:rPr>
      </w:pPr>
      <w:r w:rsidRPr="00064A9E">
        <w:rPr>
          <w:rFonts w:ascii="Verdana" w:eastAsia="Times New Roman" w:hAnsi="Verdana" w:cs="Times New Roman"/>
          <w:b/>
          <w:bCs/>
          <w:u w:val="single"/>
          <w:lang w:eastAsia="es-ES"/>
        </w:rPr>
        <w:t xml:space="preserve">Objetivos. </w:t>
      </w:r>
    </w:p>
    <w:p w14:paraId="0C63E5BD" w14:textId="07804E4A" w:rsidR="007071C0" w:rsidRPr="007071C0" w:rsidRDefault="007071C0" w:rsidP="007071C0">
      <w:pPr>
        <w:spacing w:before="120" w:after="120" w:line="360" w:lineRule="auto"/>
        <w:jc w:val="both"/>
        <w:rPr>
          <w:rFonts w:ascii="Verdana" w:eastAsia="Times New Roman" w:hAnsi="Verdana" w:cs="Times New Roman"/>
          <w:lang w:eastAsia="es-ES"/>
        </w:rPr>
      </w:pPr>
      <w:r w:rsidRPr="007071C0">
        <w:rPr>
          <w:rFonts w:ascii="Verdana" w:eastAsia="Times New Roman" w:hAnsi="Verdana" w:cs="Times New Roman"/>
          <w:lang w:eastAsia="es-ES"/>
        </w:rPr>
        <w:t xml:space="preserve">La norma persigue, por un lado, </w:t>
      </w:r>
      <w:r w:rsidR="00A249A9">
        <w:rPr>
          <w:rFonts w:ascii="Verdana" w:eastAsia="Times New Roman" w:hAnsi="Verdana" w:cs="Times New Roman"/>
          <w:lang w:eastAsia="es-ES"/>
        </w:rPr>
        <w:t xml:space="preserve">dar seguridad jurídica a la hora de determinar el funcionario interino o interina que debe cesar al incorporarse un titular y por otro lado, no favorecer la prolongación en situación de interinidad en los puestos de trabajo, dado que la norma que se pretende modificar al acordar el cese del nombrado más recientemente promueve que se mantengan las situaciones de empleo temporal al mantener en su puesto interino al funcionario o funcionaria con mayor antigüedad, lo cual es contrario a los objetivos perseguidos por </w:t>
      </w:r>
      <w:r w:rsidR="00A249A9" w:rsidRPr="00A249A9">
        <w:rPr>
          <w:rFonts w:ascii="Verdana" w:eastAsia="Times New Roman" w:hAnsi="Verdana" w:cs="Times New Roman"/>
          <w:lang w:val="es-ES_tradnl" w:eastAsia="es-ES"/>
        </w:rPr>
        <w:t>la Directiva 1999/70 CE del Consejo, de 28 de junio de 1999.</w:t>
      </w:r>
    </w:p>
    <w:p w14:paraId="51A05561" w14:textId="77777777" w:rsidR="007071C0" w:rsidRPr="00682CC8" w:rsidRDefault="007071C0" w:rsidP="007071C0">
      <w:pPr>
        <w:spacing w:before="120" w:after="120" w:line="360" w:lineRule="auto"/>
        <w:jc w:val="both"/>
        <w:rPr>
          <w:rFonts w:ascii="Verdana" w:eastAsia="Times New Roman" w:hAnsi="Verdana" w:cs="Times New Roman"/>
          <w:color w:val="000000"/>
          <w:lang w:eastAsia="es-ES"/>
        </w:rPr>
      </w:pPr>
    </w:p>
    <w:p w14:paraId="408783D4" w14:textId="77777777" w:rsidR="009C04F5" w:rsidRPr="00064A9E" w:rsidRDefault="009C04F5" w:rsidP="009C04F5">
      <w:pPr>
        <w:pStyle w:val="Prrafodelista"/>
        <w:numPr>
          <w:ilvl w:val="0"/>
          <w:numId w:val="14"/>
        </w:numPr>
        <w:spacing w:before="120" w:after="120" w:line="360" w:lineRule="auto"/>
        <w:jc w:val="both"/>
        <w:rPr>
          <w:rFonts w:ascii="Verdana" w:eastAsia="Times New Roman" w:hAnsi="Verdana" w:cs="Times New Roman"/>
          <w:b/>
          <w:bCs/>
          <w:color w:val="FF0000"/>
          <w:u w:val="single"/>
          <w:lang w:eastAsia="es-ES"/>
        </w:rPr>
      </w:pPr>
      <w:r w:rsidRPr="00064A9E">
        <w:rPr>
          <w:rFonts w:ascii="Verdana" w:eastAsia="Times New Roman" w:hAnsi="Verdana" w:cs="Times New Roman"/>
          <w:b/>
          <w:bCs/>
          <w:u w:val="single"/>
          <w:lang w:eastAsia="es-ES"/>
        </w:rPr>
        <w:t xml:space="preserve">Análisis de alternativas. </w:t>
      </w:r>
    </w:p>
    <w:p w14:paraId="5A44936F" w14:textId="60E55F9B" w:rsidR="00A249A9" w:rsidRDefault="00F040C5" w:rsidP="00F040C5">
      <w:pPr>
        <w:spacing w:before="120" w:after="120" w:line="360" w:lineRule="auto"/>
        <w:jc w:val="both"/>
        <w:rPr>
          <w:rFonts w:ascii="Verdana" w:eastAsia="Times New Roman" w:hAnsi="Verdana" w:cs="Times New Roman"/>
          <w:lang w:eastAsia="es-ES"/>
        </w:rPr>
      </w:pPr>
      <w:r w:rsidRPr="00F040C5">
        <w:rPr>
          <w:rFonts w:ascii="Verdana" w:eastAsia="Times New Roman" w:hAnsi="Verdana" w:cs="Times New Roman"/>
          <w:lang w:eastAsia="es-ES"/>
        </w:rPr>
        <w:t xml:space="preserve">No se presentan otras alternativas al proyecto </w:t>
      </w:r>
      <w:r w:rsidR="00A249A9">
        <w:rPr>
          <w:rFonts w:ascii="Verdana" w:eastAsia="Times New Roman" w:hAnsi="Verdana" w:cs="Times New Roman"/>
          <w:lang w:eastAsia="es-ES"/>
        </w:rPr>
        <w:t xml:space="preserve">de modificación de </w:t>
      </w:r>
      <w:r w:rsidR="00A249A9" w:rsidRPr="00A249A9">
        <w:rPr>
          <w:rFonts w:ascii="Verdana" w:eastAsia="Times New Roman" w:hAnsi="Verdana" w:cs="Times New Roman"/>
          <w:lang w:eastAsia="es-ES"/>
        </w:rPr>
        <w:t>Orden JUS/2296/2005, de 12 de julio, sobre selección, propuesta y nombramiento de funcionarios interinos para cubrir puestos de funcionarios de los cuerpos al servicio de la Administración de Justicia</w:t>
      </w:r>
      <w:r w:rsidR="00A249A9">
        <w:rPr>
          <w:rFonts w:ascii="Verdana" w:eastAsia="Times New Roman" w:hAnsi="Verdana" w:cs="Times New Roman"/>
          <w:lang w:eastAsia="es-ES"/>
        </w:rPr>
        <w:t>.</w:t>
      </w:r>
    </w:p>
    <w:p w14:paraId="7EFA2A47" w14:textId="77777777" w:rsidR="007071C0" w:rsidRDefault="007071C0" w:rsidP="00F040C5">
      <w:pPr>
        <w:spacing w:before="120" w:after="120" w:line="360" w:lineRule="auto"/>
        <w:jc w:val="both"/>
        <w:rPr>
          <w:rFonts w:ascii="Verdana" w:eastAsia="Times New Roman" w:hAnsi="Verdana" w:cs="Times New Roman"/>
          <w:lang w:eastAsia="es-ES"/>
        </w:rPr>
      </w:pPr>
    </w:p>
    <w:p w14:paraId="5DD01D38" w14:textId="2D66EF36" w:rsidR="009C04F5" w:rsidRPr="00064A9E" w:rsidRDefault="009C04F5" w:rsidP="009C04F5">
      <w:pPr>
        <w:pStyle w:val="Prrafodelista"/>
        <w:numPr>
          <w:ilvl w:val="0"/>
          <w:numId w:val="14"/>
        </w:numPr>
        <w:spacing w:before="120" w:after="120" w:line="360" w:lineRule="auto"/>
        <w:jc w:val="both"/>
        <w:rPr>
          <w:rFonts w:ascii="Verdana" w:eastAsia="Times New Roman" w:hAnsi="Verdana" w:cs="Times New Roman"/>
          <w:b/>
          <w:bCs/>
          <w:color w:val="000000"/>
          <w:u w:val="single"/>
          <w:lang w:eastAsia="es-ES"/>
        </w:rPr>
      </w:pPr>
      <w:r w:rsidRPr="00064A9E">
        <w:rPr>
          <w:rFonts w:ascii="Verdana" w:eastAsia="Times New Roman" w:hAnsi="Verdana" w:cs="Times New Roman"/>
          <w:b/>
          <w:bCs/>
          <w:u w:val="single"/>
          <w:lang w:eastAsia="es-ES"/>
        </w:rPr>
        <w:t xml:space="preserve">Adecuación a los principios de buena regulación. </w:t>
      </w:r>
    </w:p>
    <w:p w14:paraId="13FDD187" w14:textId="7667582A" w:rsidR="009C04F5" w:rsidRPr="002F7CBC" w:rsidRDefault="009C04F5" w:rsidP="002F7CBC">
      <w:pPr>
        <w:spacing w:before="120" w:after="120" w:line="360" w:lineRule="auto"/>
        <w:jc w:val="both"/>
        <w:rPr>
          <w:rFonts w:ascii="Verdana" w:eastAsia="Times New Roman" w:hAnsi="Verdana" w:cs="Times New Roman"/>
          <w:lang w:eastAsia="es-ES"/>
        </w:rPr>
      </w:pPr>
      <w:r w:rsidRPr="002F7CBC">
        <w:rPr>
          <w:rFonts w:ascii="Verdana" w:eastAsia="Times New Roman" w:hAnsi="Verdana" w:cs="Times New Roman"/>
          <w:lang w:eastAsia="es-ES"/>
        </w:rPr>
        <w:t>Los principios de buena regulación prevenidos en el artículo 129 de la Ley 39/2015, de 1 de octubre, del Procedimiento Administrativo Común de las Administraciones Públicas, fundan</w:t>
      </w:r>
      <w:r w:rsidR="00723EB8">
        <w:rPr>
          <w:rFonts w:ascii="Verdana" w:eastAsia="Times New Roman" w:hAnsi="Verdana" w:cs="Times New Roman"/>
          <w:lang w:eastAsia="es-ES"/>
        </w:rPr>
        <w:t xml:space="preserve"> la modificación propuesta</w:t>
      </w:r>
      <w:r w:rsidRPr="002F7CBC">
        <w:rPr>
          <w:rFonts w:ascii="Verdana" w:eastAsia="Times New Roman" w:hAnsi="Verdana" w:cs="Times New Roman"/>
          <w:lang w:eastAsia="es-ES"/>
        </w:rPr>
        <w:t>. Así:</w:t>
      </w:r>
    </w:p>
    <w:p w14:paraId="0B5BD5E7" w14:textId="2A5392DA" w:rsidR="009C04F5" w:rsidRPr="002F7CBC" w:rsidRDefault="002F7CBC" w:rsidP="00C6114A">
      <w:pPr>
        <w:pStyle w:val="Prrafodelista"/>
        <w:numPr>
          <w:ilvl w:val="0"/>
          <w:numId w:val="15"/>
        </w:numPr>
        <w:spacing w:before="120" w:after="120" w:line="360" w:lineRule="auto"/>
        <w:jc w:val="both"/>
        <w:rPr>
          <w:rFonts w:ascii="Verdana" w:eastAsia="Times New Roman" w:hAnsi="Verdana" w:cs="Times New Roman"/>
          <w:lang w:eastAsia="es-ES"/>
        </w:rPr>
      </w:pPr>
      <w:r w:rsidRPr="002F7CBC">
        <w:rPr>
          <w:rFonts w:ascii="Verdana" w:eastAsia="Times New Roman" w:hAnsi="Verdana" w:cs="Times New Roman"/>
          <w:lang w:eastAsia="es-ES"/>
        </w:rPr>
        <w:t xml:space="preserve">De conformidad con los principios de necesidad y eficacia, </w:t>
      </w:r>
      <w:r w:rsidR="00723EB8">
        <w:rPr>
          <w:rFonts w:ascii="Verdana" w:eastAsia="Times New Roman" w:hAnsi="Verdana" w:cs="Times New Roman"/>
          <w:lang w:eastAsia="es-ES"/>
        </w:rPr>
        <w:t xml:space="preserve">la Orden Ministerial </w:t>
      </w:r>
      <w:r w:rsidRPr="002F7CBC">
        <w:rPr>
          <w:rFonts w:ascii="Verdana" w:eastAsia="Times New Roman" w:hAnsi="Verdana" w:cs="Times New Roman"/>
          <w:lang w:eastAsia="es-ES"/>
        </w:rPr>
        <w:t xml:space="preserve">es el instrumento adecuado a los fines de </w:t>
      </w:r>
      <w:r w:rsidR="00807282">
        <w:rPr>
          <w:rFonts w:ascii="Verdana" w:eastAsia="Times New Roman" w:hAnsi="Verdana" w:cs="Times New Roman"/>
          <w:lang w:eastAsia="es-ES"/>
        </w:rPr>
        <w:t>modificar</w:t>
      </w:r>
      <w:r w:rsidRPr="002F7CBC">
        <w:rPr>
          <w:rFonts w:ascii="Verdana" w:eastAsia="Times New Roman" w:hAnsi="Verdana" w:cs="Times New Roman"/>
          <w:lang w:eastAsia="es-ES"/>
        </w:rPr>
        <w:t xml:space="preserve"> </w:t>
      </w:r>
      <w:r w:rsidR="00723EB8">
        <w:rPr>
          <w:rFonts w:ascii="Verdana" w:eastAsia="Times New Roman" w:hAnsi="Verdana" w:cs="Times New Roman"/>
          <w:lang w:eastAsia="es-ES"/>
        </w:rPr>
        <w:t xml:space="preserve">el artículo 18 de la </w:t>
      </w:r>
      <w:r w:rsidR="00723EB8" w:rsidRPr="00723EB8">
        <w:rPr>
          <w:rFonts w:ascii="Verdana" w:eastAsia="Times New Roman" w:hAnsi="Verdana" w:cs="Times New Roman"/>
          <w:lang w:eastAsia="es-ES"/>
        </w:rPr>
        <w:t>Orden JUS/2296/2005, de 12 de julio</w:t>
      </w:r>
      <w:r w:rsidR="00723EB8">
        <w:rPr>
          <w:rFonts w:ascii="Verdana" w:eastAsia="Times New Roman" w:hAnsi="Verdana" w:cs="Times New Roman"/>
          <w:lang w:eastAsia="es-ES"/>
        </w:rPr>
        <w:t>.</w:t>
      </w:r>
    </w:p>
    <w:p w14:paraId="249F1380" w14:textId="49408CFE" w:rsidR="009C04F5" w:rsidRPr="002F7CBC" w:rsidRDefault="002F7CBC" w:rsidP="00E34F6C">
      <w:pPr>
        <w:pStyle w:val="Prrafodelista"/>
        <w:numPr>
          <w:ilvl w:val="0"/>
          <w:numId w:val="15"/>
        </w:numPr>
        <w:spacing w:before="120" w:after="120" w:line="360" w:lineRule="auto"/>
        <w:jc w:val="both"/>
        <w:rPr>
          <w:rFonts w:ascii="Verdana" w:eastAsia="Times New Roman" w:hAnsi="Verdana" w:cs="Times New Roman"/>
          <w:lang w:eastAsia="es-ES"/>
        </w:rPr>
      </w:pPr>
      <w:r w:rsidRPr="002F7CBC">
        <w:rPr>
          <w:rFonts w:ascii="Verdana" w:eastAsia="Times New Roman" w:hAnsi="Verdana" w:cs="Times New Roman"/>
          <w:lang w:eastAsia="es-ES"/>
        </w:rPr>
        <w:lastRenderedPageBreak/>
        <w:t>En virtud del principio de proporcionalidad, la presente iniciativa minimiza su impacto a la reforma de los preceptos imprescindibles para</w:t>
      </w:r>
      <w:r w:rsidR="00712D52">
        <w:rPr>
          <w:rFonts w:ascii="Verdana" w:eastAsia="Times New Roman" w:hAnsi="Verdana" w:cs="Times New Roman"/>
          <w:lang w:eastAsia="es-ES"/>
        </w:rPr>
        <w:t xml:space="preserve"> adecuar la norma a la realidad organizativa.</w:t>
      </w:r>
      <w:r w:rsidR="009C04F5" w:rsidRPr="002F7CBC">
        <w:rPr>
          <w:rFonts w:ascii="Verdana" w:eastAsia="Times New Roman" w:hAnsi="Verdana" w:cs="Times New Roman"/>
          <w:lang w:eastAsia="es-ES"/>
        </w:rPr>
        <w:t xml:space="preserve"> </w:t>
      </w:r>
      <w:r w:rsidRPr="002F7CBC">
        <w:rPr>
          <w:rFonts w:ascii="Verdana" w:eastAsia="Times New Roman" w:hAnsi="Verdana" w:cs="Times New Roman"/>
          <w:lang w:eastAsia="es-ES"/>
        </w:rPr>
        <w:t>Con ello, la medida deviene idónea para conseguir los fines perseguidos y no supone mayor carga de obligaciones ni restricción en derechos.</w:t>
      </w:r>
    </w:p>
    <w:p w14:paraId="05BBEDFF" w14:textId="76ED9739" w:rsidR="009C04F5" w:rsidRDefault="009C04F5" w:rsidP="00DA4418">
      <w:pPr>
        <w:pStyle w:val="Prrafodelista"/>
        <w:numPr>
          <w:ilvl w:val="0"/>
          <w:numId w:val="15"/>
        </w:numPr>
        <w:spacing w:before="120" w:after="120" w:line="360" w:lineRule="auto"/>
        <w:jc w:val="both"/>
        <w:rPr>
          <w:rFonts w:ascii="Verdana" w:eastAsia="Times New Roman" w:hAnsi="Verdana" w:cs="Times New Roman"/>
          <w:lang w:eastAsia="es-ES"/>
        </w:rPr>
      </w:pPr>
      <w:r w:rsidRPr="002F7CBC">
        <w:rPr>
          <w:rFonts w:ascii="Verdana" w:eastAsia="Times New Roman" w:hAnsi="Verdana" w:cs="Times New Roman"/>
          <w:lang w:eastAsia="es-ES"/>
        </w:rPr>
        <w:t xml:space="preserve">Se garantiza el principio de seguridad jurídica, </w:t>
      </w:r>
      <w:r w:rsidR="002F7CBC" w:rsidRPr="002F7CBC">
        <w:rPr>
          <w:rFonts w:ascii="Verdana" w:eastAsia="Times New Roman" w:hAnsi="Verdana" w:cs="Times New Roman"/>
          <w:lang w:eastAsia="es-ES"/>
        </w:rPr>
        <w:t xml:space="preserve">en la medida en que, como se ha indicado, el presente proyecto elimina posibles confusiones derivadas </w:t>
      </w:r>
      <w:r w:rsidR="00712D52">
        <w:rPr>
          <w:rFonts w:ascii="Verdana" w:eastAsia="Times New Roman" w:hAnsi="Verdana" w:cs="Times New Roman"/>
          <w:lang w:eastAsia="es-ES"/>
        </w:rPr>
        <w:t xml:space="preserve">de la indefinición en la identificación de los puestos de trabajo ocupados por </w:t>
      </w:r>
      <w:proofErr w:type="gramStart"/>
      <w:r w:rsidR="00712D52">
        <w:rPr>
          <w:rFonts w:ascii="Verdana" w:eastAsia="Times New Roman" w:hAnsi="Verdana" w:cs="Times New Roman"/>
          <w:lang w:eastAsia="es-ES"/>
        </w:rPr>
        <w:t>los funcionarios y funcionarias</w:t>
      </w:r>
      <w:proofErr w:type="gramEnd"/>
      <w:r w:rsidR="00712D52">
        <w:rPr>
          <w:rFonts w:ascii="Verdana" w:eastAsia="Times New Roman" w:hAnsi="Verdana" w:cs="Times New Roman"/>
          <w:lang w:eastAsia="es-ES"/>
        </w:rPr>
        <w:t xml:space="preserve"> interinas.</w:t>
      </w:r>
    </w:p>
    <w:p w14:paraId="2863306C" w14:textId="57FFF3D4" w:rsidR="00111105" w:rsidRPr="00111105" w:rsidRDefault="002F7CBC" w:rsidP="006326D6">
      <w:pPr>
        <w:pStyle w:val="Prrafodelista"/>
        <w:numPr>
          <w:ilvl w:val="0"/>
          <w:numId w:val="15"/>
        </w:numPr>
        <w:spacing w:before="120" w:after="120" w:line="360" w:lineRule="auto"/>
        <w:jc w:val="both"/>
        <w:rPr>
          <w:rFonts w:ascii="Verdana" w:eastAsia="Times New Roman" w:hAnsi="Verdana" w:cs="Times New Roman"/>
          <w:lang w:eastAsia="es-ES"/>
        </w:rPr>
      </w:pPr>
      <w:r w:rsidRPr="00111105">
        <w:rPr>
          <w:rFonts w:ascii="Verdana" w:eastAsia="Times New Roman" w:hAnsi="Verdana" w:cs="Times New Roman"/>
          <w:lang w:eastAsia="es-ES"/>
        </w:rPr>
        <w:t xml:space="preserve">En aplicación del principio de transparencia </w:t>
      </w:r>
      <w:r w:rsidR="00111105" w:rsidRPr="00111105">
        <w:rPr>
          <w:rFonts w:ascii="Verdana" w:eastAsia="Times New Roman" w:hAnsi="Verdana" w:cs="Times New Roman"/>
          <w:lang w:eastAsia="es-ES"/>
        </w:rPr>
        <w:t>define claramente sus objetivos, reflejados en su preámbulo</w:t>
      </w:r>
      <w:r w:rsidR="00111105">
        <w:rPr>
          <w:rFonts w:ascii="Verdana" w:eastAsia="Times New Roman" w:hAnsi="Verdana" w:cs="Times New Roman"/>
          <w:lang w:eastAsia="es-ES"/>
        </w:rPr>
        <w:t xml:space="preserve"> </w:t>
      </w:r>
      <w:r w:rsidR="00111105" w:rsidRPr="00111105">
        <w:rPr>
          <w:rFonts w:ascii="Verdana" w:eastAsia="Times New Roman" w:hAnsi="Verdana" w:cs="Times New Roman"/>
          <w:lang w:eastAsia="es-ES"/>
        </w:rPr>
        <w:t>y en la memoria que lo acompaña</w:t>
      </w:r>
      <w:r w:rsidR="00111105">
        <w:rPr>
          <w:rFonts w:ascii="Verdana" w:eastAsia="Times New Roman" w:hAnsi="Verdana" w:cs="Times New Roman"/>
          <w:lang w:eastAsia="es-ES"/>
        </w:rPr>
        <w:t>.</w:t>
      </w:r>
    </w:p>
    <w:p w14:paraId="15A5F09C" w14:textId="4C6DCEA7" w:rsidR="009C04F5" w:rsidRPr="002F7CBC" w:rsidRDefault="00111105" w:rsidP="007E5A97">
      <w:pPr>
        <w:pStyle w:val="Prrafodelista"/>
        <w:numPr>
          <w:ilvl w:val="0"/>
          <w:numId w:val="15"/>
        </w:numPr>
        <w:spacing w:before="120" w:after="120" w:line="360" w:lineRule="auto"/>
        <w:jc w:val="both"/>
        <w:rPr>
          <w:rFonts w:ascii="Verdana" w:eastAsia="Times New Roman" w:hAnsi="Verdana" w:cs="Times New Roman"/>
          <w:lang w:eastAsia="es-ES"/>
        </w:rPr>
      </w:pPr>
      <w:r>
        <w:rPr>
          <w:rFonts w:ascii="Verdana" w:eastAsia="Times New Roman" w:hAnsi="Verdana" w:cs="Times New Roman"/>
          <w:lang w:eastAsia="es-ES"/>
        </w:rPr>
        <w:t xml:space="preserve">Se cumple con el principio de </w:t>
      </w:r>
      <w:r w:rsidR="002F7CBC" w:rsidRPr="002F7CBC">
        <w:rPr>
          <w:rFonts w:ascii="Verdana" w:eastAsia="Times New Roman" w:hAnsi="Verdana" w:cs="Times New Roman"/>
          <w:lang w:eastAsia="es-ES"/>
        </w:rPr>
        <w:t>eficiencia,</w:t>
      </w:r>
      <w:r>
        <w:rPr>
          <w:rFonts w:ascii="Verdana" w:eastAsia="Times New Roman" w:hAnsi="Verdana" w:cs="Times New Roman"/>
          <w:lang w:eastAsia="es-ES"/>
        </w:rPr>
        <w:t xml:space="preserve"> dado que no se imponen cargas administrativas innecesarias o accesorias, facilitando el conocimiento del importe de los complementos</w:t>
      </w:r>
      <w:r w:rsidR="009C04F5" w:rsidRPr="002F7CBC">
        <w:rPr>
          <w:rFonts w:ascii="Verdana" w:eastAsia="Times New Roman" w:hAnsi="Verdana" w:cs="Times New Roman"/>
          <w:lang w:eastAsia="es-ES"/>
        </w:rPr>
        <w:t>.</w:t>
      </w:r>
    </w:p>
    <w:p w14:paraId="632C3CA6" w14:textId="77777777" w:rsidR="009C04F5" w:rsidRPr="008D6923" w:rsidRDefault="009C04F5" w:rsidP="009C04F5">
      <w:pPr>
        <w:pStyle w:val="Prrafodelista"/>
        <w:spacing w:before="120" w:after="120" w:line="360" w:lineRule="auto"/>
        <w:ind w:left="1068"/>
        <w:jc w:val="both"/>
        <w:rPr>
          <w:rFonts w:ascii="Verdana" w:eastAsia="Times New Roman" w:hAnsi="Verdana" w:cs="Times New Roman"/>
          <w:color w:val="000000"/>
          <w:lang w:eastAsia="es-ES"/>
        </w:rPr>
      </w:pPr>
    </w:p>
    <w:p w14:paraId="331F9116" w14:textId="77777777" w:rsidR="009C04F5" w:rsidRDefault="009C04F5" w:rsidP="009C04F5">
      <w:pPr>
        <w:pStyle w:val="Prrafodelista"/>
        <w:numPr>
          <w:ilvl w:val="0"/>
          <w:numId w:val="14"/>
        </w:numPr>
        <w:spacing w:before="120" w:after="120" w:line="360" w:lineRule="auto"/>
        <w:jc w:val="both"/>
        <w:rPr>
          <w:rFonts w:ascii="Verdana" w:eastAsia="Times New Roman" w:hAnsi="Verdana" w:cs="Times New Roman"/>
        </w:rPr>
      </w:pPr>
      <w:r w:rsidRPr="00064A9E">
        <w:rPr>
          <w:rFonts w:ascii="Verdana" w:eastAsia="Times New Roman" w:hAnsi="Verdana" w:cs="Times New Roman"/>
          <w:b/>
          <w:bCs/>
          <w:u w:val="single"/>
          <w:lang w:eastAsia="es-ES"/>
        </w:rPr>
        <w:t>Plan Anual Normativo.</w:t>
      </w:r>
      <w:r w:rsidRPr="00C51DEB">
        <w:rPr>
          <w:rFonts w:ascii="Verdana" w:eastAsia="Times New Roman" w:hAnsi="Verdana" w:cs="Times New Roman"/>
          <w:lang w:eastAsia="es-ES"/>
        </w:rPr>
        <w:t xml:space="preserve"> </w:t>
      </w:r>
    </w:p>
    <w:p w14:paraId="5D0DB83B" w14:textId="64C78982" w:rsidR="009C04F5" w:rsidRDefault="002770B3" w:rsidP="009C04F5">
      <w:pPr>
        <w:spacing w:before="120" w:after="120" w:line="360" w:lineRule="auto"/>
        <w:ind w:left="360"/>
        <w:jc w:val="both"/>
        <w:rPr>
          <w:rFonts w:ascii="Verdana" w:eastAsia="Times New Roman" w:hAnsi="Verdana" w:cs="Times New Roman"/>
        </w:rPr>
      </w:pPr>
      <w:r>
        <w:rPr>
          <w:rFonts w:ascii="Verdana" w:eastAsia="Times New Roman" w:hAnsi="Verdana" w:cs="Times New Roman"/>
          <w:lang w:eastAsia="es-ES"/>
        </w:rPr>
        <w:t xml:space="preserve">Esta Orden Ministerial </w:t>
      </w:r>
      <w:r w:rsidR="007071C0" w:rsidRPr="007071C0">
        <w:rPr>
          <w:rFonts w:ascii="Verdana" w:eastAsia="Times New Roman" w:hAnsi="Verdana" w:cs="Times New Roman"/>
          <w:lang w:eastAsia="es-ES"/>
        </w:rPr>
        <w:t>no se encuentra incluido en el Plan Anual Normativo 2025</w:t>
      </w:r>
      <w:r w:rsidR="001C45E3">
        <w:rPr>
          <w:rFonts w:ascii="Verdana" w:eastAsia="Times New Roman" w:hAnsi="Verdana" w:cs="Times New Roman"/>
          <w:lang w:eastAsia="es-ES"/>
        </w:rPr>
        <w:t>.</w:t>
      </w:r>
      <w:r w:rsidR="007071C0" w:rsidRPr="007071C0">
        <w:rPr>
          <w:rFonts w:ascii="Verdana" w:eastAsia="Times New Roman" w:hAnsi="Verdana" w:cs="Times New Roman"/>
          <w:lang w:eastAsia="es-ES"/>
        </w:rPr>
        <w:t xml:space="preserve"> </w:t>
      </w:r>
      <w:r w:rsidR="001C45E3">
        <w:rPr>
          <w:rFonts w:ascii="Verdana" w:eastAsia="Times New Roman" w:hAnsi="Verdana" w:cs="Times New Roman"/>
          <w:lang w:eastAsia="es-ES"/>
        </w:rPr>
        <w:t>S</w:t>
      </w:r>
      <w:r w:rsidR="007071C0" w:rsidRPr="007071C0">
        <w:rPr>
          <w:rFonts w:ascii="Verdana" w:eastAsia="Times New Roman" w:hAnsi="Verdana" w:cs="Times New Roman"/>
          <w:lang w:eastAsia="es-ES"/>
        </w:rPr>
        <w:t>i bien resulta necesaria su aprobación</w:t>
      </w:r>
      <w:r w:rsidR="001C45E3">
        <w:rPr>
          <w:rFonts w:ascii="Verdana" w:eastAsia="Times New Roman" w:hAnsi="Verdana" w:cs="Times New Roman"/>
          <w:lang w:eastAsia="es-ES"/>
        </w:rPr>
        <w:t xml:space="preserve"> por las razones expuestas en los apartados 2. Objetivos y 3. Análisis de las alternativas</w:t>
      </w:r>
      <w:r w:rsidR="009C04F5" w:rsidRPr="00064A9E">
        <w:rPr>
          <w:rFonts w:ascii="Verdana" w:eastAsia="Times New Roman" w:hAnsi="Verdana" w:cs="Times New Roman"/>
          <w:lang w:eastAsia="es-ES"/>
        </w:rPr>
        <w:t>.</w:t>
      </w:r>
    </w:p>
    <w:p w14:paraId="76C6829C" w14:textId="77777777" w:rsidR="009C04F5" w:rsidRPr="00096827" w:rsidRDefault="009C04F5" w:rsidP="0063584C">
      <w:pPr>
        <w:spacing w:before="120" w:after="120" w:line="360" w:lineRule="auto"/>
        <w:ind w:left="720"/>
        <w:jc w:val="both"/>
        <w:rPr>
          <w:rFonts w:ascii="Verdana" w:eastAsia="Times New Roman" w:hAnsi="Verdana" w:cs="Times New Roman"/>
        </w:rPr>
      </w:pPr>
    </w:p>
    <w:p w14:paraId="487FE316" w14:textId="426D96AF" w:rsidR="00920C32" w:rsidRDefault="0063584C" w:rsidP="0063584C">
      <w:pPr>
        <w:keepNext/>
        <w:spacing w:before="240" w:after="240" w:line="360" w:lineRule="auto"/>
        <w:outlineLvl w:val="1"/>
        <w:rPr>
          <w:rFonts w:ascii="Verdana" w:eastAsia="Times New Roman" w:hAnsi="Verdana" w:cs="Arial"/>
          <w:b/>
          <w:bCs/>
          <w:iCs/>
          <w:szCs w:val="24"/>
          <w:lang w:eastAsia="es-ES"/>
        </w:rPr>
      </w:pPr>
      <w:bookmarkStart w:id="11" w:name="_Toc342985072"/>
      <w:r w:rsidRPr="00DC332E">
        <w:rPr>
          <w:rFonts w:ascii="Verdana" w:eastAsia="Times New Roman" w:hAnsi="Verdana" w:cs="Arial"/>
          <w:b/>
          <w:bCs/>
          <w:iCs/>
          <w:szCs w:val="24"/>
          <w:u w:val="single"/>
          <w:lang w:eastAsia="es-ES"/>
        </w:rPr>
        <w:t>II</w:t>
      </w:r>
      <w:r w:rsidR="009C04F5" w:rsidRPr="00DC332E">
        <w:rPr>
          <w:rFonts w:ascii="Verdana" w:eastAsia="Times New Roman" w:hAnsi="Verdana" w:cs="Arial"/>
          <w:b/>
          <w:bCs/>
          <w:iCs/>
          <w:szCs w:val="24"/>
          <w:u w:val="single"/>
          <w:lang w:eastAsia="es-ES"/>
        </w:rPr>
        <w:t>I</w:t>
      </w:r>
      <w:r w:rsidRPr="00DC332E">
        <w:rPr>
          <w:rFonts w:ascii="Verdana" w:eastAsia="Times New Roman" w:hAnsi="Verdana" w:cs="Arial"/>
          <w:b/>
          <w:bCs/>
          <w:iCs/>
          <w:szCs w:val="24"/>
          <w:u w:val="single"/>
          <w:lang w:eastAsia="es-ES"/>
        </w:rPr>
        <w:t>.</w:t>
      </w:r>
      <w:r w:rsidRPr="00DC332E">
        <w:rPr>
          <w:rFonts w:ascii="Verdana" w:eastAsia="Times New Roman" w:hAnsi="Verdana" w:cs="Arial"/>
          <w:b/>
          <w:bCs/>
          <w:iCs/>
          <w:szCs w:val="24"/>
          <w:u w:val="single"/>
          <w:lang w:eastAsia="es-ES"/>
        </w:rPr>
        <w:tab/>
      </w:r>
      <w:r w:rsidR="00920C32" w:rsidRPr="00DC332E">
        <w:rPr>
          <w:rFonts w:ascii="Verdana" w:eastAsia="Times New Roman" w:hAnsi="Verdana" w:cs="Arial"/>
          <w:b/>
          <w:bCs/>
          <w:iCs/>
          <w:szCs w:val="24"/>
          <w:u w:val="single"/>
          <w:lang w:eastAsia="es-ES"/>
        </w:rPr>
        <w:t>CONTENIDO</w:t>
      </w:r>
    </w:p>
    <w:p w14:paraId="2380E076" w14:textId="4E63E2A2" w:rsidR="00920C32" w:rsidRDefault="00405292" w:rsidP="00920C32">
      <w:pPr>
        <w:spacing w:before="120" w:after="120" w:line="360" w:lineRule="auto"/>
        <w:jc w:val="both"/>
        <w:rPr>
          <w:rFonts w:ascii="Verdana" w:eastAsia="Times New Roman" w:hAnsi="Verdana" w:cs="Times New Roman"/>
          <w:lang w:eastAsia="es-ES"/>
        </w:rPr>
      </w:pPr>
      <w:r>
        <w:rPr>
          <w:rFonts w:ascii="Verdana" w:eastAsia="Times New Roman" w:hAnsi="Verdana" w:cs="Times New Roman"/>
          <w:lang w:eastAsia="es-ES"/>
        </w:rPr>
        <w:t xml:space="preserve">La Orden Ministerial </w:t>
      </w:r>
      <w:r w:rsidR="007071C0" w:rsidRPr="007071C0">
        <w:rPr>
          <w:rFonts w:ascii="Verdana" w:eastAsia="Times New Roman" w:hAnsi="Verdana" w:cs="Times New Roman"/>
          <w:lang w:eastAsia="es-ES"/>
        </w:rPr>
        <w:t xml:space="preserve">se inicia con una parte expositiva en la que se aborda la necesidad y justificación </w:t>
      </w:r>
      <w:r w:rsidR="00956250" w:rsidRPr="007071C0">
        <w:rPr>
          <w:rFonts w:ascii="Verdana" w:eastAsia="Times New Roman" w:hAnsi="Verdana" w:cs="Times New Roman"/>
          <w:lang w:eastAsia="es-ES"/>
        </w:rPr>
        <w:t>de este</w:t>
      </w:r>
      <w:r w:rsidR="00920C32" w:rsidRPr="00A83E18">
        <w:rPr>
          <w:rFonts w:ascii="Verdana" w:eastAsia="Times New Roman" w:hAnsi="Verdana" w:cs="Times New Roman"/>
          <w:lang w:eastAsia="es-ES"/>
        </w:rPr>
        <w:t>.</w:t>
      </w:r>
    </w:p>
    <w:p w14:paraId="69251ADB" w14:textId="300DC543" w:rsidR="007071C0" w:rsidRDefault="007071C0" w:rsidP="00920C32">
      <w:pPr>
        <w:spacing w:before="120" w:after="120" w:line="360" w:lineRule="auto"/>
        <w:jc w:val="both"/>
        <w:rPr>
          <w:rFonts w:ascii="Verdana" w:eastAsia="Times New Roman" w:hAnsi="Verdana" w:cs="Times New Roman"/>
          <w:lang w:eastAsia="es-ES"/>
        </w:rPr>
      </w:pPr>
      <w:r w:rsidRPr="007071C0">
        <w:rPr>
          <w:rFonts w:ascii="Verdana" w:eastAsia="Times New Roman" w:hAnsi="Verdana" w:cs="Times New Roman"/>
          <w:lang w:eastAsia="es-ES"/>
        </w:rPr>
        <w:t xml:space="preserve">La parte dispositiva consta de un único artículo, en el que se recoge </w:t>
      </w:r>
      <w:r w:rsidR="00405292">
        <w:rPr>
          <w:rFonts w:ascii="Verdana" w:eastAsia="Times New Roman" w:hAnsi="Verdana" w:cs="Times New Roman"/>
          <w:lang w:eastAsia="es-ES"/>
        </w:rPr>
        <w:t xml:space="preserve">las circunstancias en las que los </w:t>
      </w:r>
      <w:r w:rsidR="00405292" w:rsidRPr="00405292">
        <w:rPr>
          <w:rFonts w:ascii="Verdana" w:eastAsia="Times New Roman" w:hAnsi="Verdana" w:cs="Times New Roman"/>
          <w:lang w:val="es-ES_tradnl" w:eastAsia="es-ES"/>
        </w:rPr>
        <w:t>nombramientos de los funcionario o funcionarias o funcionarias interinas quedarán sin efecto</w:t>
      </w:r>
      <w:r w:rsidR="00405292">
        <w:rPr>
          <w:rFonts w:ascii="Verdana" w:eastAsia="Times New Roman" w:hAnsi="Verdana" w:cs="Times New Roman"/>
          <w:lang w:val="es-ES_tradnl" w:eastAsia="es-ES"/>
        </w:rPr>
        <w:t>.</w:t>
      </w:r>
    </w:p>
    <w:p w14:paraId="3E6A4D73" w14:textId="77777777" w:rsidR="00920C32" w:rsidRDefault="00920C32" w:rsidP="0063584C">
      <w:pPr>
        <w:keepNext/>
        <w:spacing w:before="240" w:after="240" w:line="360" w:lineRule="auto"/>
        <w:outlineLvl w:val="1"/>
        <w:rPr>
          <w:rFonts w:ascii="Verdana" w:eastAsia="Times New Roman" w:hAnsi="Verdana" w:cs="Arial"/>
          <w:b/>
          <w:bCs/>
          <w:iCs/>
          <w:szCs w:val="24"/>
          <w:lang w:eastAsia="es-ES"/>
        </w:rPr>
      </w:pPr>
    </w:p>
    <w:p w14:paraId="41C02B23" w14:textId="77777777" w:rsidR="00562BBA" w:rsidRPr="00DC332E" w:rsidRDefault="00554E29" w:rsidP="00AB685B">
      <w:pPr>
        <w:keepNext/>
        <w:spacing w:before="240" w:after="240" w:line="360" w:lineRule="auto"/>
        <w:outlineLvl w:val="1"/>
        <w:rPr>
          <w:rFonts w:ascii="Verdana" w:eastAsia="Times New Roman" w:hAnsi="Verdana" w:cs="Arial"/>
          <w:b/>
          <w:bCs/>
          <w:iCs/>
          <w:szCs w:val="24"/>
          <w:u w:val="single"/>
          <w:lang w:eastAsia="es-ES"/>
        </w:rPr>
      </w:pPr>
      <w:r w:rsidRPr="00DC332E">
        <w:rPr>
          <w:rFonts w:ascii="Verdana" w:eastAsia="Times New Roman" w:hAnsi="Verdana" w:cs="Arial"/>
          <w:b/>
          <w:bCs/>
          <w:iCs/>
          <w:szCs w:val="24"/>
          <w:u w:val="single"/>
          <w:lang w:eastAsia="es-ES"/>
        </w:rPr>
        <w:t xml:space="preserve">IV. ANÁLISIS JURÍDICO </w:t>
      </w:r>
      <w:bookmarkStart w:id="12" w:name="_Toc342985073"/>
      <w:bookmarkEnd w:id="11"/>
    </w:p>
    <w:p w14:paraId="10C2F6FA" w14:textId="5E87D26C" w:rsidR="0063584C" w:rsidRPr="00562BBA" w:rsidRDefault="00554E29" w:rsidP="00562BBA">
      <w:pPr>
        <w:pStyle w:val="Prrafodelista"/>
        <w:keepNext/>
        <w:numPr>
          <w:ilvl w:val="0"/>
          <w:numId w:val="23"/>
        </w:numPr>
        <w:spacing w:before="240" w:after="240" w:line="360" w:lineRule="auto"/>
        <w:outlineLvl w:val="1"/>
        <w:rPr>
          <w:rFonts w:ascii="Verdana" w:eastAsia="Times New Roman" w:hAnsi="Verdana" w:cs="Arial"/>
          <w:b/>
          <w:bCs/>
          <w:color w:val="000000"/>
          <w:u w:val="single"/>
        </w:rPr>
      </w:pPr>
      <w:r w:rsidRPr="00562BBA">
        <w:rPr>
          <w:rFonts w:ascii="Verdana" w:eastAsia="Times New Roman" w:hAnsi="Verdana" w:cs="Arial"/>
          <w:b/>
          <w:bCs/>
          <w:color w:val="000000"/>
          <w:u w:val="single"/>
        </w:rPr>
        <w:t xml:space="preserve">Fundamento jurídico y </w:t>
      </w:r>
      <w:r w:rsidR="007F236B" w:rsidRPr="00562BBA">
        <w:rPr>
          <w:rFonts w:ascii="Verdana" w:eastAsia="Times New Roman" w:hAnsi="Verdana" w:cs="Arial"/>
          <w:b/>
          <w:bCs/>
          <w:color w:val="000000"/>
          <w:u w:val="single"/>
        </w:rPr>
        <w:t>rango normativo</w:t>
      </w:r>
      <w:r w:rsidR="0063584C" w:rsidRPr="00562BBA">
        <w:rPr>
          <w:rFonts w:ascii="Verdana" w:eastAsia="Times New Roman" w:hAnsi="Verdana" w:cs="Arial"/>
          <w:b/>
          <w:bCs/>
          <w:color w:val="000000"/>
          <w:u w:val="single"/>
        </w:rPr>
        <w:t>.</w:t>
      </w:r>
    </w:p>
    <w:p w14:paraId="27BEC706" w14:textId="4E3FA9B6" w:rsidR="00652884" w:rsidRDefault="007641CA" w:rsidP="002F7CBC">
      <w:pPr>
        <w:spacing w:before="120" w:after="120" w:line="360" w:lineRule="auto"/>
        <w:jc w:val="both"/>
        <w:rPr>
          <w:rFonts w:ascii="Verdana" w:eastAsia="Times New Roman" w:hAnsi="Verdana" w:cs="Arial"/>
          <w:color w:val="000000"/>
        </w:rPr>
      </w:pPr>
      <w:r w:rsidRPr="007641CA">
        <w:rPr>
          <w:rFonts w:ascii="Verdana" w:eastAsia="Times New Roman" w:hAnsi="Verdana" w:cs="Arial"/>
          <w:color w:val="000000"/>
        </w:rPr>
        <w:t xml:space="preserve">El proyecto de </w:t>
      </w:r>
      <w:r w:rsidR="00652884">
        <w:rPr>
          <w:rFonts w:ascii="Verdana" w:eastAsia="Times New Roman" w:hAnsi="Verdana" w:cs="Arial"/>
          <w:color w:val="000000"/>
        </w:rPr>
        <w:t xml:space="preserve">Orden Ministerial </w:t>
      </w:r>
      <w:r w:rsidR="002F7CBC" w:rsidRPr="002F7CBC">
        <w:rPr>
          <w:rFonts w:ascii="Verdana" w:eastAsia="Times New Roman" w:hAnsi="Verdana" w:cs="Arial"/>
          <w:color w:val="000000"/>
        </w:rPr>
        <w:t xml:space="preserve">afecta a un aspecto muy concreto </w:t>
      </w:r>
      <w:r w:rsidR="00652884">
        <w:rPr>
          <w:rFonts w:ascii="Verdana" w:eastAsia="Times New Roman" w:hAnsi="Verdana" w:cs="Arial"/>
          <w:color w:val="000000"/>
        </w:rPr>
        <w:t xml:space="preserve">relativo a los ceses y renuncias </w:t>
      </w:r>
      <w:r w:rsidR="00652884" w:rsidRPr="00652884">
        <w:rPr>
          <w:rFonts w:ascii="Verdana" w:eastAsia="Times New Roman" w:hAnsi="Verdana" w:cs="Arial"/>
          <w:color w:val="000000"/>
          <w:lang w:val="es-ES_tradnl"/>
        </w:rPr>
        <w:t>de los funcionario</w:t>
      </w:r>
      <w:r w:rsidR="00956250">
        <w:rPr>
          <w:rFonts w:ascii="Verdana" w:eastAsia="Times New Roman" w:hAnsi="Verdana" w:cs="Arial"/>
          <w:color w:val="000000"/>
          <w:lang w:val="es-ES_tradnl"/>
        </w:rPr>
        <w:t xml:space="preserve">s </w:t>
      </w:r>
      <w:r w:rsidR="00652884" w:rsidRPr="00652884">
        <w:rPr>
          <w:rFonts w:ascii="Verdana" w:eastAsia="Times New Roman" w:hAnsi="Verdana" w:cs="Arial"/>
          <w:color w:val="000000"/>
          <w:lang w:val="es-ES_tradnl"/>
        </w:rPr>
        <w:t>o funcionarias interinas</w:t>
      </w:r>
      <w:r w:rsidR="00652884">
        <w:rPr>
          <w:rFonts w:ascii="Verdana" w:eastAsia="Times New Roman" w:hAnsi="Verdana" w:cs="Arial"/>
          <w:color w:val="000000"/>
          <w:lang w:val="es-ES_tradnl"/>
        </w:rPr>
        <w:t>.</w:t>
      </w:r>
    </w:p>
    <w:p w14:paraId="4E37F6E4" w14:textId="1B06D584" w:rsidR="002F7CBC" w:rsidRDefault="002F7CBC" w:rsidP="002F7CBC">
      <w:pPr>
        <w:spacing w:before="120" w:after="120" w:line="360" w:lineRule="auto"/>
        <w:jc w:val="both"/>
        <w:rPr>
          <w:rFonts w:ascii="Verdana" w:eastAsia="Times New Roman" w:hAnsi="Verdana" w:cs="Arial"/>
          <w:color w:val="000000"/>
        </w:rPr>
      </w:pPr>
      <w:r w:rsidRPr="002F7CBC">
        <w:rPr>
          <w:rFonts w:ascii="Verdana" w:eastAsia="Times New Roman" w:hAnsi="Verdana" w:cs="Arial"/>
          <w:color w:val="000000"/>
        </w:rPr>
        <w:t>Su</w:t>
      </w:r>
      <w:r>
        <w:rPr>
          <w:rFonts w:ascii="Verdana" w:eastAsia="Times New Roman" w:hAnsi="Verdana" w:cs="Arial"/>
          <w:color w:val="000000"/>
        </w:rPr>
        <w:t xml:space="preserve"> </w:t>
      </w:r>
      <w:r w:rsidRPr="002F7CBC">
        <w:rPr>
          <w:rFonts w:ascii="Verdana" w:eastAsia="Times New Roman" w:hAnsi="Verdana" w:cs="Arial"/>
          <w:color w:val="000000"/>
        </w:rPr>
        <w:t xml:space="preserve">articulación mediante </w:t>
      </w:r>
      <w:r w:rsidR="00652884">
        <w:rPr>
          <w:rFonts w:ascii="Verdana" w:eastAsia="Times New Roman" w:hAnsi="Verdana" w:cs="Arial"/>
          <w:color w:val="000000"/>
        </w:rPr>
        <w:t xml:space="preserve">Orden Ministerial </w:t>
      </w:r>
      <w:r w:rsidRPr="002F7CBC">
        <w:rPr>
          <w:rFonts w:ascii="Verdana" w:eastAsia="Times New Roman" w:hAnsi="Verdana" w:cs="Arial"/>
          <w:color w:val="000000"/>
        </w:rPr>
        <w:t xml:space="preserve">se justificaría en función de la habilitación contenida en </w:t>
      </w:r>
      <w:r w:rsidR="00652884">
        <w:rPr>
          <w:rFonts w:ascii="Verdana" w:eastAsia="Times New Roman" w:hAnsi="Verdana" w:cs="Arial"/>
          <w:color w:val="000000"/>
        </w:rPr>
        <w:t xml:space="preserve">el artículo 30.4 del </w:t>
      </w:r>
      <w:r w:rsidR="00652884" w:rsidRPr="00652884">
        <w:rPr>
          <w:rFonts w:ascii="Verdana" w:eastAsia="Times New Roman" w:hAnsi="Verdana" w:cs="Arial"/>
          <w:color w:val="000000"/>
        </w:rPr>
        <w:t xml:space="preserve">Real Decreto 1451/2005, de 7 de diciembre, por el que se aprueba el Reglamento de Ingreso, Provisión de Puestos de Trabajo y Promoción Profesional del Personal </w:t>
      </w:r>
      <w:proofErr w:type="gramStart"/>
      <w:r w:rsidR="00652884" w:rsidRPr="00652884">
        <w:rPr>
          <w:rFonts w:ascii="Verdana" w:eastAsia="Times New Roman" w:hAnsi="Verdana" w:cs="Arial"/>
          <w:color w:val="000000"/>
        </w:rPr>
        <w:t>Funcionario</w:t>
      </w:r>
      <w:proofErr w:type="gramEnd"/>
      <w:r w:rsidR="00652884" w:rsidRPr="00652884">
        <w:rPr>
          <w:rFonts w:ascii="Verdana" w:eastAsia="Times New Roman" w:hAnsi="Verdana" w:cs="Arial"/>
          <w:color w:val="000000"/>
        </w:rPr>
        <w:t xml:space="preserve"> al Servicio de la Administración de Justicia</w:t>
      </w:r>
      <w:r w:rsidR="00652884">
        <w:rPr>
          <w:rFonts w:ascii="Verdana" w:eastAsia="Times New Roman" w:hAnsi="Verdana" w:cs="Arial"/>
          <w:color w:val="000000"/>
        </w:rPr>
        <w:t>.</w:t>
      </w:r>
    </w:p>
    <w:p w14:paraId="52449B8C" w14:textId="377A185A" w:rsidR="007F236B" w:rsidRPr="00EA3EE8" w:rsidRDefault="00655D3C" w:rsidP="00562BBA">
      <w:pPr>
        <w:pStyle w:val="Prrafodelista"/>
        <w:numPr>
          <w:ilvl w:val="0"/>
          <w:numId w:val="23"/>
        </w:numPr>
        <w:spacing w:before="120" w:after="120" w:line="360" w:lineRule="auto"/>
        <w:jc w:val="both"/>
        <w:rPr>
          <w:rFonts w:ascii="Verdana" w:eastAsia="Times New Roman" w:hAnsi="Verdana" w:cs="Arial"/>
          <w:color w:val="000000"/>
        </w:rPr>
      </w:pPr>
      <w:r>
        <w:rPr>
          <w:rFonts w:ascii="Verdana" w:eastAsia="Times New Roman" w:hAnsi="Verdana" w:cs="Arial"/>
          <w:b/>
          <w:bCs/>
          <w:color w:val="000000"/>
          <w:u w:val="single"/>
        </w:rPr>
        <w:t>Congruencia</w:t>
      </w:r>
      <w:r w:rsidR="00414C9F" w:rsidRPr="00EA3EE8">
        <w:rPr>
          <w:rFonts w:ascii="Verdana" w:eastAsia="Times New Roman" w:hAnsi="Verdana" w:cs="Arial"/>
          <w:b/>
          <w:bCs/>
          <w:color w:val="000000"/>
          <w:u w:val="single"/>
        </w:rPr>
        <w:t xml:space="preserve"> con el ordenamiento jurídico español y europeo.</w:t>
      </w:r>
    </w:p>
    <w:p w14:paraId="3E4B7B07" w14:textId="56AC07B8" w:rsidR="00414C9F" w:rsidRDefault="007641CA" w:rsidP="00414C9F">
      <w:pPr>
        <w:spacing w:before="120" w:after="120" w:line="360" w:lineRule="auto"/>
        <w:jc w:val="both"/>
        <w:rPr>
          <w:rFonts w:ascii="Verdana" w:eastAsia="Times New Roman" w:hAnsi="Verdana" w:cs="Arial"/>
          <w:color w:val="000000"/>
        </w:rPr>
      </w:pPr>
      <w:r w:rsidRPr="007641CA">
        <w:rPr>
          <w:rFonts w:ascii="Verdana" w:eastAsia="Times New Roman" w:hAnsi="Verdana" w:cs="Arial"/>
          <w:color w:val="000000"/>
        </w:rPr>
        <w:t>Est</w:t>
      </w:r>
      <w:r w:rsidR="00652884">
        <w:rPr>
          <w:rFonts w:ascii="Verdana" w:eastAsia="Times New Roman" w:hAnsi="Verdana" w:cs="Arial"/>
          <w:color w:val="000000"/>
        </w:rPr>
        <w:t xml:space="preserve">a Orden Ministerial </w:t>
      </w:r>
      <w:r w:rsidRPr="007641CA">
        <w:rPr>
          <w:rFonts w:ascii="Verdana" w:eastAsia="Times New Roman" w:hAnsi="Verdana" w:cs="Arial"/>
          <w:color w:val="000000"/>
        </w:rPr>
        <w:t>l se dicta al amparo de lo dispuesto en el artículo 149.1. 5ª de la Constitución, que atribuye al Estado la competencia exclusiva en materia de Administración de Justicia</w:t>
      </w:r>
      <w:r w:rsidR="00EF4B3C">
        <w:rPr>
          <w:rFonts w:ascii="Verdana" w:eastAsia="Times New Roman" w:hAnsi="Verdana" w:cs="Arial"/>
          <w:color w:val="000000"/>
        </w:rPr>
        <w:t>.</w:t>
      </w:r>
    </w:p>
    <w:p w14:paraId="084C9CF3" w14:textId="742E0F35" w:rsidR="002F7CBC" w:rsidRPr="00EA3EE8" w:rsidRDefault="002E445E" w:rsidP="00414C9F">
      <w:pPr>
        <w:spacing w:before="120" w:after="120" w:line="360" w:lineRule="auto"/>
        <w:jc w:val="both"/>
        <w:rPr>
          <w:rFonts w:ascii="Verdana" w:eastAsia="Times New Roman" w:hAnsi="Verdana" w:cs="Arial"/>
          <w:color w:val="000000"/>
        </w:rPr>
      </w:pPr>
      <w:r>
        <w:rPr>
          <w:rFonts w:ascii="Verdana" w:eastAsia="Times New Roman" w:hAnsi="Verdana" w:cs="Arial"/>
          <w:color w:val="000000"/>
        </w:rPr>
        <w:t>Se ajusta a</w:t>
      </w:r>
      <w:r w:rsidR="002F7CBC">
        <w:rPr>
          <w:rFonts w:ascii="Verdana" w:eastAsia="Times New Roman" w:hAnsi="Verdana" w:cs="Arial"/>
          <w:color w:val="000000"/>
        </w:rPr>
        <w:t xml:space="preserve"> lo dispuesto en la disposición final de la Ley 15/2003, de 26 de mayo, la cual se dicta en desarrollo del artículo 403.6 de la </w:t>
      </w:r>
      <w:r w:rsidR="002F7CBC" w:rsidRPr="002F7CBC">
        <w:rPr>
          <w:rFonts w:ascii="Verdana" w:eastAsia="Times New Roman" w:hAnsi="Verdana" w:cs="Arial"/>
          <w:color w:val="000000"/>
        </w:rPr>
        <w:t>Ley Orgánica 6/1985, de 1 de julio, del Poder Judicial</w:t>
      </w:r>
      <w:r w:rsidR="002F7CBC">
        <w:rPr>
          <w:rFonts w:ascii="Verdana" w:eastAsia="Times New Roman" w:hAnsi="Verdana" w:cs="Arial"/>
          <w:color w:val="000000"/>
        </w:rPr>
        <w:t>.</w:t>
      </w:r>
    </w:p>
    <w:p w14:paraId="70C6C85D" w14:textId="10DAAF47" w:rsidR="006C7892" w:rsidRPr="006C7892" w:rsidRDefault="006C7892" w:rsidP="00562BBA">
      <w:pPr>
        <w:pStyle w:val="Prrafodelista"/>
        <w:numPr>
          <w:ilvl w:val="0"/>
          <w:numId w:val="23"/>
        </w:numPr>
        <w:spacing w:before="120" w:after="120" w:line="360" w:lineRule="auto"/>
        <w:jc w:val="both"/>
        <w:rPr>
          <w:rFonts w:ascii="Verdana" w:eastAsia="Times New Roman" w:hAnsi="Verdana" w:cs="Arial"/>
          <w:b/>
          <w:bCs/>
          <w:color w:val="000000"/>
          <w:u w:val="single"/>
        </w:rPr>
      </w:pPr>
      <w:r w:rsidRPr="00345CF4">
        <w:rPr>
          <w:rFonts w:ascii="Verdana" w:eastAsia="Times New Roman" w:hAnsi="Verdana" w:cs="Arial"/>
          <w:b/>
          <w:bCs/>
          <w:color w:val="000000"/>
          <w:u w:val="single"/>
        </w:rPr>
        <w:t>Entrada en vigor</w:t>
      </w:r>
      <w:r w:rsidR="00655D3C">
        <w:rPr>
          <w:rFonts w:ascii="Verdana" w:eastAsia="Times New Roman" w:hAnsi="Verdana" w:cs="Arial"/>
          <w:b/>
          <w:bCs/>
          <w:color w:val="000000"/>
          <w:u w:val="single"/>
        </w:rPr>
        <w:t xml:space="preserve"> y vigencia</w:t>
      </w:r>
      <w:r w:rsidRPr="00345CF4">
        <w:rPr>
          <w:rFonts w:ascii="Verdana" w:eastAsia="Times New Roman" w:hAnsi="Verdana" w:cs="Arial"/>
          <w:b/>
          <w:bCs/>
          <w:color w:val="000000"/>
          <w:u w:val="single"/>
        </w:rPr>
        <w:t>.</w:t>
      </w:r>
    </w:p>
    <w:p w14:paraId="0F3D18AE" w14:textId="20B10B3E" w:rsidR="006C7892" w:rsidRDefault="007641CA" w:rsidP="006C7892">
      <w:pPr>
        <w:spacing w:before="120" w:after="120" w:line="360" w:lineRule="auto"/>
        <w:jc w:val="both"/>
        <w:rPr>
          <w:rFonts w:ascii="Verdana" w:eastAsia="Calibri" w:hAnsi="Verdana" w:cs="Times New Roman"/>
          <w:shd w:val="clear" w:color="auto" w:fill="FFFFFF"/>
          <w14:ligatures w14:val="none"/>
        </w:rPr>
      </w:pPr>
      <w:r>
        <w:rPr>
          <w:rFonts w:ascii="Verdana" w:eastAsia="Times New Roman" w:hAnsi="Verdana" w:cs="Times New Roman"/>
          <w:lang w:eastAsia="es-ES"/>
          <w14:ligatures w14:val="none"/>
        </w:rPr>
        <w:t xml:space="preserve">La norma no impone nuevas obligaciones a </w:t>
      </w:r>
      <w:r w:rsidRPr="007641CA">
        <w:rPr>
          <w:rFonts w:ascii="Verdana" w:eastAsia="Times New Roman" w:hAnsi="Verdana" w:cs="Times New Roman"/>
          <w:lang w:eastAsia="es-ES"/>
          <w14:ligatures w14:val="none"/>
        </w:rPr>
        <w:t>las personas físicas o jurídicas</w:t>
      </w:r>
      <w:r>
        <w:rPr>
          <w:rFonts w:ascii="Verdana" w:eastAsia="Times New Roman" w:hAnsi="Verdana" w:cs="Times New Roman"/>
          <w:lang w:eastAsia="es-ES"/>
          <w14:ligatures w14:val="none"/>
        </w:rPr>
        <w:t xml:space="preserve">, por lo que no le es de aplicación la previsión del art. 23 de la </w:t>
      </w:r>
      <w:r w:rsidRPr="007641CA">
        <w:rPr>
          <w:rFonts w:ascii="Verdana" w:eastAsia="Times New Roman" w:hAnsi="Verdana" w:cs="Times New Roman"/>
          <w:lang w:eastAsia="es-ES"/>
          <w14:ligatures w14:val="none"/>
        </w:rPr>
        <w:t>Ley 50/1997, de 27 de noviembre, del Gobierno</w:t>
      </w:r>
      <w:r w:rsidR="006C7892" w:rsidRPr="000B05D4">
        <w:rPr>
          <w:rFonts w:ascii="Verdana" w:eastAsia="Calibri" w:hAnsi="Verdana" w:cs="Times New Roman"/>
          <w:shd w:val="clear" w:color="auto" w:fill="FFFFFF"/>
          <w14:ligatures w14:val="none"/>
        </w:rPr>
        <w:t>.</w:t>
      </w:r>
    </w:p>
    <w:p w14:paraId="29B4585C" w14:textId="4309047E" w:rsidR="007641CA" w:rsidRDefault="007641CA" w:rsidP="006C7892">
      <w:pPr>
        <w:spacing w:before="120" w:after="120" w:line="360" w:lineRule="auto"/>
        <w:jc w:val="both"/>
        <w:rPr>
          <w:rFonts w:ascii="Verdana" w:eastAsia="Calibri" w:hAnsi="Verdana" w:cs="Times New Roman"/>
          <w:shd w:val="clear" w:color="auto" w:fill="FFFFFF"/>
          <w14:ligatures w14:val="none"/>
        </w:rPr>
      </w:pPr>
      <w:r>
        <w:rPr>
          <w:rFonts w:ascii="Verdana" w:eastAsia="Calibri" w:hAnsi="Verdana" w:cs="Times New Roman"/>
          <w:shd w:val="clear" w:color="auto" w:fill="FFFFFF"/>
          <w14:ligatures w14:val="none"/>
        </w:rPr>
        <w:t xml:space="preserve">En consecuencia, su entrada en vigor se rige por lo dispuesto en el art. 2.1 del Código Civil. </w:t>
      </w:r>
    </w:p>
    <w:p w14:paraId="7D7030BB" w14:textId="38D27180" w:rsidR="00AD3CAF" w:rsidRPr="003D2474" w:rsidRDefault="00AD3CAF" w:rsidP="006C7892">
      <w:pPr>
        <w:spacing w:before="120" w:after="120" w:line="360" w:lineRule="auto"/>
        <w:jc w:val="both"/>
        <w:rPr>
          <w:rFonts w:ascii="Verdana" w:eastAsia="Times New Roman" w:hAnsi="Verdana" w:cs="Times New Roman"/>
          <w:lang w:eastAsia="es-ES"/>
          <w14:ligatures w14:val="none"/>
        </w:rPr>
      </w:pPr>
      <w:r>
        <w:rPr>
          <w:rFonts w:ascii="Verdana" w:eastAsia="Calibri" w:hAnsi="Verdana" w:cs="Times New Roman"/>
          <w:shd w:val="clear" w:color="auto" w:fill="FFFFFF"/>
          <w14:ligatures w14:val="none"/>
        </w:rPr>
        <w:t>La vigencia de la norma será indefinida, hasta su futura modificación o derogación.</w:t>
      </w:r>
    </w:p>
    <w:p w14:paraId="38CB7A26" w14:textId="71469918" w:rsidR="00E16813" w:rsidRPr="00EA3EE8" w:rsidRDefault="00851AAB" w:rsidP="00562BBA">
      <w:pPr>
        <w:pStyle w:val="Prrafodelista"/>
        <w:numPr>
          <w:ilvl w:val="0"/>
          <w:numId w:val="23"/>
        </w:numPr>
        <w:spacing w:before="120" w:after="120" w:line="360" w:lineRule="auto"/>
        <w:jc w:val="both"/>
        <w:rPr>
          <w:rFonts w:ascii="Verdana" w:eastAsia="Times New Roman" w:hAnsi="Verdana" w:cs="Arial"/>
          <w:b/>
          <w:bCs/>
          <w:color w:val="000000"/>
          <w:u w:val="single"/>
        </w:rPr>
      </w:pPr>
      <w:r w:rsidRPr="00EA3EE8">
        <w:rPr>
          <w:rFonts w:ascii="Verdana" w:eastAsia="Times New Roman" w:hAnsi="Verdana" w:cs="Arial"/>
          <w:b/>
          <w:bCs/>
          <w:color w:val="000000"/>
          <w:u w:val="single"/>
        </w:rPr>
        <w:t>Derogación normativa.</w:t>
      </w:r>
    </w:p>
    <w:p w14:paraId="257233F1" w14:textId="77777777" w:rsidR="00FF6656" w:rsidRPr="00FF6656" w:rsidRDefault="007641CA" w:rsidP="00FF6656">
      <w:pPr>
        <w:spacing w:before="120" w:after="120" w:line="360" w:lineRule="auto"/>
        <w:jc w:val="both"/>
        <w:rPr>
          <w:rFonts w:ascii="Verdana" w:eastAsia="Times New Roman" w:hAnsi="Verdana" w:cs="Arial"/>
          <w:color w:val="000000"/>
        </w:rPr>
      </w:pPr>
      <w:r w:rsidRPr="007641CA">
        <w:rPr>
          <w:rFonts w:ascii="Verdana" w:eastAsia="Times New Roman" w:hAnsi="Verdana" w:cs="Arial"/>
          <w:color w:val="000000"/>
        </w:rPr>
        <w:t>La aprobación de</w:t>
      </w:r>
      <w:r w:rsidR="00FF6656">
        <w:rPr>
          <w:rFonts w:ascii="Verdana" w:eastAsia="Times New Roman" w:hAnsi="Verdana" w:cs="Arial"/>
          <w:color w:val="000000"/>
        </w:rPr>
        <w:t xml:space="preserve"> la presente Orden Ministerial </w:t>
      </w:r>
      <w:r w:rsidRPr="007641CA">
        <w:rPr>
          <w:rFonts w:ascii="Verdana" w:eastAsia="Times New Roman" w:hAnsi="Verdana" w:cs="Arial"/>
          <w:color w:val="000000"/>
        </w:rPr>
        <w:t xml:space="preserve">implica la sustitución </w:t>
      </w:r>
      <w:r w:rsidR="00FF6656">
        <w:rPr>
          <w:rFonts w:ascii="Verdana" w:eastAsia="Times New Roman" w:hAnsi="Verdana" w:cs="Arial"/>
          <w:color w:val="000000"/>
        </w:rPr>
        <w:t xml:space="preserve">del artículo 18 </w:t>
      </w:r>
      <w:r w:rsidR="00FF6656" w:rsidRPr="00FF6656">
        <w:rPr>
          <w:rFonts w:ascii="Verdana" w:eastAsia="Times New Roman" w:hAnsi="Verdana" w:cs="Arial"/>
          <w:color w:val="000000"/>
        </w:rPr>
        <w:t>Orden JUS/2296/2005, de 12 de julio, sobre selección, propuesta y nombramiento de funcionarios interinos para cubrir puestos de funcionarios de los cuerpos al servicio de la Administración de Justicia.</w:t>
      </w:r>
    </w:p>
    <w:p w14:paraId="3277C720" w14:textId="293F6537" w:rsidR="00851AAB" w:rsidRPr="00EA3EE8" w:rsidRDefault="00851AAB" w:rsidP="00851AAB">
      <w:pPr>
        <w:spacing w:before="120" w:after="120" w:line="360" w:lineRule="auto"/>
        <w:jc w:val="both"/>
        <w:rPr>
          <w:rFonts w:ascii="Verdana" w:eastAsia="Times New Roman" w:hAnsi="Verdana" w:cs="Arial"/>
          <w:color w:val="000000"/>
        </w:rPr>
      </w:pPr>
    </w:p>
    <w:p w14:paraId="0CE950D7" w14:textId="77777777" w:rsidR="0063584C" w:rsidRPr="00096827" w:rsidRDefault="0063584C" w:rsidP="0063584C">
      <w:pPr>
        <w:spacing w:before="120" w:after="120" w:line="360" w:lineRule="auto"/>
        <w:jc w:val="both"/>
        <w:rPr>
          <w:rFonts w:ascii="Trebuchet MS" w:eastAsia="Times New Roman" w:hAnsi="Trebuchet MS" w:cs="Times New Roman"/>
          <w:color w:val="000000"/>
          <w:sz w:val="18"/>
          <w:szCs w:val="18"/>
        </w:rPr>
      </w:pPr>
    </w:p>
    <w:p w14:paraId="4D09DCCC" w14:textId="37D1A08F" w:rsidR="002372EA" w:rsidRPr="00DC332E" w:rsidRDefault="002372EA" w:rsidP="00EA3EE8">
      <w:pPr>
        <w:keepNext/>
        <w:spacing w:before="240" w:after="240" w:line="360" w:lineRule="auto"/>
        <w:outlineLvl w:val="1"/>
        <w:rPr>
          <w:rFonts w:ascii="Verdana" w:eastAsia="Times New Roman" w:hAnsi="Verdana" w:cs="Arial"/>
          <w:b/>
          <w:bCs/>
          <w:iCs/>
          <w:szCs w:val="24"/>
          <w:u w:val="single"/>
          <w:lang w:eastAsia="es-ES"/>
        </w:rPr>
      </w:pPr>
      <w:r w:rsidRPr="00DC332E">
        <w:rPr>
          <w:rFonts w:ascii="Verdana" w:eastAsia="Times New Roman" w:hAnsi="Verdana" w:cs="Arial"/>
          <w:b/>
          <w:bCs/>
          <w:iCs/>
          <w:szCs w:val="24"/>
          <w:u w:val="single"/>
          <w:lang w:eastAsia="es-ES"/>
        </w:rPr>
        <w:t>V</w:t>
      </w:r>
      <w:r w:rsidR="00DC332E" w:rsidRPr="00DC332E">
        <w:rPr>
          <w:rFonts w:ascii="Verdana" w:eastAsia="Times New Roman" w:hAnsi="Verdana" w:cs="Arial"/>
          <w:b/>
          <w:bCs/>
          <w:iCs/>
          <w:szCs w:val="24"/>
          <w:u w:val="single"/>
          <w:lang w:eastAsia="es-ES"/>
        </w:rPr>
        <w:t xml:space="preserve">. ADECUACIÓN AL ORDEN DE DISTRIBUCIÓN DE COMPETENCIAS. </w:t>
      </w:r>
    </w:p>
    <w:p w14:paraId="0E685F38" w14:textId="7A2C40E4" w:rsidR="002372EA" w:rsidRPr="004F6348" w:rsidRDefault="002372EA" w:rsidP="002372EA">
      <w:pPr>
        <w:widowControl w:val="0"/>
        <w:autoSpaceDE w:val="0"/>
        <w:autoSpaceDN w:val="0"/>
        <w:adjustRightInd w:val="0"/>
        <w:spacing w:before="120" w:after="0" w:line="360" w:lineRule="auto"/>
        <w:ind w:right="142"/>
        <w:jc w:val="both"/>
        <w:rPr>
          <w:rFonts w:ascii="Verdana" w:eastAsia="Times New Roman" w:hAnsi="Verdana" w:cs="Times New Roman"/>
          <w:strike/>
        </w:rPr>
      </w:pPr>
      <w:r w:rsidRPr="00E41A19">
        <w:rPr>
          <w:rFonts w:ascii="Verdana" w:eastAsia="Times New Roman" w:hAnsi="Verdana" w:cs="Times New Roman"/>
        </w:rPr>
        <w:t>El artículo 149.</w:t>
      </w:r>
      <w:r w:rsidR="000562B4" w:rsidRPr="00E41A19">
        <w:rPr>
          <w:rFonts w:ascii="Verdana" w:eastAsia="Times New Roman" w:hAnsi="Verdana" w:cs="Times New Roman"/>
        </w:rPr>
        <w:t>1. 5ª</w:t>
      </w:r>
      <w:r w:rsidRPr="00E41A19">
        <w:rPr>
          <w:rFonts w:ascii="Verdana" w:eastAsia="Times New Roman" w:hAnsi="Verdana" w:cs="Times New Roman"/>
        </w:rPr>
        <w:t xml:space="preserve"> de la Constitución Española reconoce la competencia exclusiva del Estado en materia de Administración de Justicia.</w:t>
      </w:r>
      <w:r w:rsidR="00866689">
        <w:rPr>
          <w:rFonts w:ascii="Verdana" w:eastAsia="Times New Roman" w:hAnsi="Verdana" w:cs="Times New Roman"/>
        </w:rPr>
        <w:t xml:space="preserve"> </w:t>
      </w:r>
    </w:p>
    <w:p w14:paraId="781086B4" w14:textId="77777777" w:rsidR="00684470" w:rsidRPr="00096827" w:rsidRDefault="00684470" w:rsidP="002372EA">
      <w:pPr>
        <w:widowControl w:val="0"/>
        <w:autoSpaceDE w:val="0"/>
        <w:autoSpaceDN w:val="0"/>
        <w:adjustRightInd w:val="0"/>
        <w:spacing w:before="120" w:after="0" w:line="360" w:lineRule="auto"/>
        <w:ind w:right="142"/>
        <w:jc w:val="both"/>
        <w:rPr>
          <w:rFonts w:ascii="Verdana" w:eastAsia="Times New Roman" w:hAnsi="Verdana" w:cs="Times New Roman"/>
        </w:rPr>
      </w:pPr>
    </w:p>
    <w:bookmarkEnd w:id="12"/>
    <w:p w14:paraId="61D97B53" w14:textId="04C577B6" w:rsidR="0063584C" w:rsidRPr="00DC332E" w:rsidRDefault="0027057A" w:rsidP="00EA3EE8">
      <w:pPr>
        <w:keepNext/>
        <w:spacing w:before="240" w:after="240" w:line="360" w:lineRule="auto"/>
        <w:outlineLvl w:val="1"/>
        <w:rPr>
          <w:rFonts w:ascii="Verdana" w:eastAsia="Calibri" w:hAnsi="Verdana" w:cs="Arial"/>
          <w:bCs/>
          <w:u w:val="single"/>
          <w:lang w:eastAsia="es-ES"/>
        </w:rPr>
      </w:pPr>
      <w:r w:rsidRPr="00DC332E">
        <w:rPr>
          <w:rFonts w:ascii="Verdana" w:eastAsia="Times New Roman" w:hAnsi="Verdana" w:cs="Arial"/>
          <w:b/>
          <w:bCs/>
          <w:iCs/>
          <w:szCs w:val="24"/>
          <w:u w:val="single"/>
          <w:lang w:eastAsia="es-ES"/>
        </w:rPr>
        <w:t xml:space="preserve">VI. </w:t>
      </w:r>
      <w:r w:rsidR="00DC332E" w:rsidRPr="00DC332E">
        <w:rPr>
          <w:rFonts w:ascii="Verdana" w:eastAsia="Times New Roman" w:hAnsi="Verdana" w:cs="Arial"/>
          <w:b/>
          <w:bCs/>
          <w:iCs/>
          <w:szCs w:val="24"/>
          <w:u w:val="single"/>
          <w:lang w:eastAsia="es-ES"/>
        </w:rPr>
        <w:t xml:space="preserve">DESCRIPCIÓN DE LA TRAMITACIÓN. </w:t>
      </w:r>
    </w:p>
    <w:p w14:paraId="36844D09" w14:textId="2300E58B" w:rsidR="00D770DE" w:rsidRPr="00D770DE" w:rsidRDefault="00D770DE" w:rsidP="00D770DE">
      <w:pPr>
        <w:spacing w:before="120" w:after="120" w:line="360" w:lineRule="auto"/>
        <w:jc w:val="both"/>
        <w:rPr>
          <w:rFonts w:ascii="Verdana" w:eastAsia="Times New Roman" w:hAnsi="Verdana" w:cs="Arial"/>
          <w:color w:val="000000"/>
        </w:rPr>
      </w:pPr>
      <w:r w:rsidRPr="00D770DE">
        <w:rPr>
          <w:rFonts w:ascii="Verdana" w:eastAsia="Times New Roman" w:hAnsi="Verdana" w:cs="Arial"/>
          <w:color w:val="000000"/>
        </w:rPr>
        <w:t xml:space="preserve">En fecha </w:t>
      </w:r>
      <w:proofErr w:type="spellStart"/>
      <w:r w:rsidR="004F6348">
        <w:rPr>
          <w:rFonts w:ascii="Verdana" w:eastAsia="Times New Roman" w:hAnsi="Verdana" w:cs="Arial"/>
          <w:color w:val="000000"/>
        </w:rPr>
        <w:t>xxxxx</w:t>
      </w:r>
      <w:r w:rsidRPr="00D770DE">
        <w:rPr>
          <w:rFonts w:ascii="Verdana" w:eastAsia="Times New Roman" w:hAnsi="Verdana" w:cs="Arial"/>
          <w:color w:val="000000"/>
        </w:rPr>
        <w:t>de</w:t>
      </w:r>
      <w:proofErr w:type="spellEnd"/>
      <w:r w:rsidRPr="00D770DE">
        <w:rPr>
          <w:rFonts w:ascii="Verdana" w:eastAsia="Times New Roman" w:hAnsi="Verdana" w:cs="Arial"/>
          <w:color w:val="000000"/>
        </w:rPr>
        <w:t xml:space="preserve"> 2025, se remite el proyecto de </w:t>
      </w:r>
      <w:r w:rsidR="00956250">
        <w:rPr>
          <w:rFonts w:ascii="Verdana" w:eastAsia="Times New Roman" w:hAnsi="Verdana" w:cs="Arial"/>
          <w:color w:val="000000"/>
        </w:rPr>
        <w:t>Orden</w:t>
      </w:r>
      <w:r w:rsidRPr="00D770DE">
        <w:rPr>
          <w:rFonts w:ascii="Verdana" w:eastAsia="Times New Roman" w:hAnsi="Verdana" w:cs="Arial"/>
          <w:color w:val="000000"/>
        </w:rPr>
        <w:t>, junto con la MAIN, a</w:t>
      </w:r>
      <w:r w:rsidR="00956250">
        <w:rPr>
          <w:rFonts w:ascii="Verdana" w:eastAsia="Times New Roman" w:hAnsi="Verdana" w:cs="Arial"/>
          <w:color w:val="000000"/>
        </w:rPr>
        <w:t xml:space="preserve"> la Unidad de Apoyo de la Dirección General</w:t>
      </w:r>
      <w:r w:rsidRPr="00D770DE">
        <w:rPr>
          <w:rFonts w:ascii="Verdana" w:eastAsia="Times New Roman" w:hAnsi="Verdana" w:cs="Arial"/>
          <w:color w:val="000000"/>
        </w:rPr>
        <w:t xml:space="preserve"> del Servicio Público de Justicia. </w:t>
      </w:r>
    </w:p>
    <w:p w14:paraId="3810AD9B" w14:textId="4305479C" w:rsidR="0063584C" w:rsidRPr="00245F1D" w:rsidRDefault="0063584C" w:rsidP="00D770DE">
      <w:pPr>
        <w:spacing w:before="120" w:after="120" w:line="360" w:lineRule="auto"/>
        <w:ind w:firstLine="426"/>
        <w:jc w:val="both"/>
        <w:rPr>
          <w:rFonts w:ascii="Verdana" w:eastAsia="Times New Roman" w:hAnsi="Verdana" w:cs="Arial"/>
        </w:rPr>
      </w:pPr>
      <w:r w:rsidRPr="00245F1D">
        <w:rPr>
          <w:rFonts w:ascii="Verdana" w:eastAsia="Times New Roman" w:hAnsi="Verdana" w:cs="Arial"/>
        </w:rPr>
        <w:t>La tramitación de la presente propuesta comprende los siguientes trámites:</w:t>
      </w:r>
    </w:p>
    <w:p w14:paraId="3EEDB76F" w14:textId="3C0851D0" w:rsidR="00C97061" w:rsidRPr="00C97061" w:rsidRDefault="00C97061" w:rsidP="00C97061">
      <w:pPr>
        <w:numPr>
          <w:ilvl w:val="0"/>
          <w:numId w:val="18"/>
        </w:numPr>
        <w:spacing w:before="100" w:beforeAutospacing="1" w:after="100" w:afterAutospacing="1" w:line="360" w:lineRule="auto"/>
        <w:ind w:left="709" w:right="-1" w:hanging="283"/>
        <w:contextualSpacing/>
        <w:jc w:val="both"/>
        <w:rPr>
          <w:rFonts w:ascii="Verdana" w:eastAsia="Times New Roman" w:hAnsi="Verdana" w:cs="Times New Roman"/>
          <w:lang w:val="es-ES_tradnl" w:eastAsia="es-ES"/>
          <w14:ligatures w14:val="none"/>
        </w:rPr>
      </w:pPr>
      <w:bookmarkStart w:id="13" w:name="_Hlk177462030"/>
      <w:r w:rsidRPr="00C97061">
        <w:rPr>
          <w:rFonts w:ascii="Verdana" w:eastAsia="Times New Roman" w:hAnsi="Verdana" w:cs="Times New Roman"/>
          <w:lang w:val="es-ES_tradnl" w:eastAsia="es-ES"/>
          <w14:ligatures w14:val="none"/>
        </w:rPr>
        <w:t xml:space="preserve">Informe de la SGT del Ministerio </w:t>
      </w:r>
      <w:r w:rsidRPr="00C97061">
        <w:rPr>
          <w:rFonts w:ascii="Verdana" w:eastAsia="Times New Roman" w:hAnsi="Verdana" w:cs="Arial"/>
          <w:bCs/>
          <w:lang w:val="es-ES_tradnl" w:eastAsia="es-ES"/>
          <w14:ligatures w14:val="none"/>
        </w:rPr>
        <w:t xml:space="preserve">de la Presidencia, Justicia y Relaciones con las Cortes </w:t>
      </w:r>
      <w:r w:rsidRPr="00C97061">
        <w:rPr>
          <w:rFonts w:ascii="Verdana" w:eastAsia="Times New Roman" w:hAnsi="Verdana" w:cs="Times New Roman"/>
          <w:lang w:val="es-ES_tradnl" w:eastAsia="es-ES"/>
          <w14:ligatures w14:val="none"/>
        </w:rPr>
        <w:t>(artículo 26.5, párrafo cuarto, de la Ley 50/1997, de 27 de noviembre).</w:t>
      </w:r>
    </w:p>
    <w:p w14:paraId="783CBF26" w14:textId="77777777" w:rsidR="003C0C8C" w:rsidRPr="003C0C8C" w:rsidRDefault="003C0C8C" w:rsidP="00C4166D">
      <w:pPr>
        <w:widowControl w:val="0"/>
        <w:autoSpaceDE w:val="0"/>
        <w:autoSpaceDN w:val="0"/>
        <w:adjustRightInd w:val="0"/>
        <w:spacing w:before="100" w:beforeAutospacing="1" w:after="100" w:afterAutospacing="1" w:line="360" w:lineRule="auto"/>
        <w:ind w:right="-1"/>
        <w:contextualSpacing/>
        <w:jc w:val="both"/>
        <w:rPr>
          <w:rFonts w:ascii="Verdana" w:eastAsia="Times New Roman" w:hAnsi="Verdana" w:cs="Arial"/>
          <w:bCs/>
          <w:lang w:val="es-ES_tradnl" w:eastAsia="es-ES"/>
          <w14:ligatures w14:val="none"/>
        </w:rPr>
      </w:pPr>
    </w:p>
    <w:p w14:paraId="78354397" w14:textId="3B52FE0C" w:rsidR="00B94D0D" w:rsidRPr="00C97061" w:rsidRDefault="00B94D0D" w:rsidP="00524529">
      <w:pPr>
        <w:numPr>
          <w:ilvl w:val="0"/>
          <w:numId w:val="18"/>
        </w:numPr>
        <w:spacing w:before="100" w:beforeAutospacing="1" w:after="100" w:afterAutospacing="1" w:line="360" w:lineRule="auto"/>
        <w:ind w:left="709" w:right="-1" w:hanging="283"/>
        <w:contextualSpacing/>
        <w:jc w:val="both"/>
        <w:rPr>
          <w:rFonts w:ascii="Verdana" w:eastAsia="Times New Roman" w:hAnsi="Verdana" w:cs="Times New Roman"/>
          <w:lang w:val="es-ES_tradnl" w:eastAsia="es-ES"/>
          <w14:ligatures w14:val="none"/>
        </w:rPr>
      </w:pPr>
      <w:r w:rsidRPr="00C97061">
        <w:rPr>
          <w:rFonts w:ascii="Verdana" w:eastAsia="Times New Roman" w:hAnsi="Verdana" w:cs="Arial"/>
          <w:bCs/>
          <w:lang w:val="es-ES_tradnl" w:eastAsia="es-ES"/>
          <w14:ligatures w14:val="none"/>
        </w:rPr>
        <w:t>Informe de la Oficina de Coordinación y Calidad Normativa del Ministerio de la Presidencia, Relaciones con las Cortes y Memoria Democrática (artículo 26.9 de la Ley 50/1997, de 27 de noviembre)</w:t>
      </w:r>
      <w:r w:rsidR="000562B4">
        <w:rPr>
          <w:rFonts w:ascii="Verdana" w:eastAsia="Times New Roman" w:hAnsi="Verdana" w:cs="Arial"/>
          <w:bCs/>
          <w:lang w:val="es-ES_tradnl" w:eastAsia="es-ES"/>
          <w14:ligatures w14:val="none"/>
        </w:rPr>
        <w:t>.</w:t>
      </w:r>
    </w:p>
    <w:bookmarkEnd w:id="13"/>
    <w:p w14:paraId="086725A9" w14:textId="77777777" w:rsidR="00956250" w:rsidRDefault="00956250" w:rsidP="00245F1D">
      <w:pPr>
        <w:spacing w:before="120" w:after="120" w:line="360" w:lineRule="auto"/>
        <w:jc w:val="both"/>
        <w:rPr>
          <w:rFonts w:ascii="Verdana" w:eastAsia="Times New Roman" w:hAnsi="Verdana" w:cs="Times New Roman"/>
          <w:lang w:eastAsia="es-ES"/>
        </w:rPr>
      </w:pPr>
    </w:p>
    <w:p w14:paraId="27B1093A" w14:textId="02C27A02" w:rsidR="0063584C" w:rsidRDefault="0063584C" w:rsidP="00245F1D">
      <w:pPr>
        <w:spacing w:before="120" w:after="120" w:line="360" w:lineRule="auto"/>
        <w:jc w:val="both"/>
        <w:rPr>
          <w:rFonts w:ascii="Verdana" w:eastAsia="Times New Roman" w:hAnsi="Verdana" w:cs="Times New Roman"/>
          <w:lang w:eastAsia="es-ES"/>
        </w:rPr>
      </w:pPr>
      <w:r w:rsidRPr="00245F1D">
        <w:rPr>
          <w:rFonts w:ascii="Verdana" w:eastAsia="Times New Roman" w:hAnsi="Verdana" w:cs="Times New Roman"/>
          <w:lang w:eastAsia="es-ES"/>
        </w:rPr>
        <w:t xml:space="preserve">De conformidad con </w:t>
      </w:r>
      <w:r w:rsidR="00B671C8" w:rsidRPr="00245F1D">
        <w:rPr>
          <w:rFonts w:ascii="Verdana" w:eastAsia="Times New Roman" w:hAnsi="Verdana" w:cs="Times New Roman"/>
          <w:lang w:eastAsia="es-ES"/>
        </w:rPr>
        <w:t xml:space="preserve">el </w:t>
      </w:r>
      <w:r w:rsidRPr="00245F1D">
        <w:rPr>
          <w:rFonts w:ascii="Verdana" w:eastAsia="Times New Roman" w:hAnsi="Verdana" w:cs="Times New Roman"/>
          <w:lang w:eastAsia="es-ES"/>
        </w:rPr>
        <w:t xml:space="preserve">artículo 26.2 de la Ley 50/1997, de 27 de noviembre, del Gobierno, </w:t>
      </w:r>
      <w:r w:rsidR="00B62E7B" w:rsidRPr="00245F1D">
        <w:rPr>
          <w:rFonts w:ascii="Verdana" w:eastAsia="Times New Roman" w:hAnsi="Verdana" w:cs="Times New Roman"/>
          <w:lang w:eastAsia="es-ES"/>
        </w:rPr>
        <w:t>se estim</w:t>
      </w:r>
      <w:r w:rsidR="00D275CF" w:rsidRPr="00245F1D">
        <w:rPr>
          <w:rFonts w:ascii="Verdana" w:eastAsia="Times New Roman" w:hAnsi="Verdana" w:cs="Times New Roman"/>
          <w:lang w:eastAsia="es-ES"/>
        </w:rPr>
        <w:t xml:space="preserve">ó </w:t>
      </w:r>
      <w:r w:rsidR="00B62E7B" w:rsidRPr="00245F1D">
        <w:rPr>
          <w:rFonts w:ascii="Verdana" w:eastAsia="Times New Roman" w:hAnsi="Verdana" w:cs="Times New Roman"/>
          <w:lang w:eastAsia="es-ES"/>
        </w:rPr>
        <w:t>procedente prescindir</w:t>
      </w:r>
      <w:r w:rsidRPr="00245F1D">
        <w:rPr>
          <w:rFonts w:ascii="Verdana" w:eastAsia="Times New Roman" w:hAnsi="Verdana" w:cs="Times New Roman"/>
          <w:lang w:eastAsia="es-ES"/>
        </w:rPr>
        <w:t xml:space="preserve"> </w:t>
      </w:r>
      <w:r w:rsidR="00B62E7B" w:rsidRPr="00245F1D">
        <w:rPr>
          <w:rFonts w:ascii="Verdana" w:eastAsia="Times New Roman" w:hAnsi="Verdana" w:cs="Times New Roman"/>
          <w:lang w:eastAsia="es-ES"/>
        </w:rPr>
        <w:t>d</w:t>
      </w:r>
      <w:r w:rsidRPr="00245F1D">
        <w:rPr>
          <w:rFonts w:ascii="Verdana" w:eastAsia="Times New Roman" w:hAnsi="Verdana" w:cs="Times New Roman"/>
          <w:lang w:eastAsia="es-ES"/>
        </w:rPr>
        <w:t xml:space="preserve">el trámite de consulta pública, al tratarse de una propuesta </w:t>
      </w:r>
      <w:r w:rsidR="00343231">
        <w:rPr>
          <w:rFonts w:ascii="Verdana" w:eastAsia="Times New Roman" w:hAnsi="Verdana" w:cs="Times New Roman"/>
          <w:lang w:eastAsia="es-ES"/>
        </w:rPr>
        <w:t xml:space="preserve">de </w:t>
      </w:r>
      <w:r w:rsidR="000E28CF">
        <w:rPr>
          <w:rFonts w:ascii="Verdana" w:eastAsia="Times New Roman" w:hAnsi="Verdana" w:cs="Times New Roman"/>
          <w:lang w:eastAsia="es-ES"/>
        </w:rPr>
        <w:t>norma</w:t>
      </w:r>
      <w:r w:rsidR="00956250">
        <w:rPr>
          <w:rFonts w:ascii="Verdana" w:eastAsia="Times New Roman" w:hAnsi="Verdana" w:cs="Times New Roman"/>
          <w:lang w:eastAsia="es-ES"/>
        </w:rPr>
        <w:t xml:space="preserve"> que adecua el texto actual a la nueva realidad de las RPT. </w:t>
      </w:r>
    </w:p>
    <w:p w14:paraId="17A91A5A" w14:textId="77777777" w:rsidR="0079019F" w:rsidRDefault="0079019F" w:rsidP="0070003B">
      <w:pPr>
        <w:spacing w:before="120" w:after="120" w:line="360" w:lineRule="auto"/>
        <w:jc w:val="both"/>
        <w:rPr>
          <w:rFonts w:ascii="Verdana" w:eastAsia="Times New Roman" w:hAnsi="Verdana" w:cs="Times New Roman"/>
          <w:color w:val="000000"/>
          <w:lang w:eastAsia="es-ES"/>
        </w:rPr>
      </w:pPr>
    </w:p>
    <w:p w14:paraId="143E9568" w14:textId="38F36FD6" w:rsidR="0063584C" w:rsidRPr="00096827" w:rsidRDefault="0063584C" w:rsidP="00C12A0D">
      <w:pPr>
        <w:keepNext/>
        <w:spacing w:before="240" w:after="240" w:line="360" w:lineRule="auto"/>
        <w:ind w:left="709" w:hanging="709"/>
        <w:jc w:val="both"/>
        <w:outlineLvl w:val="1"/>
        <w:rPr>
          <w:rFonts w:ascii="Verdana" w:eastAsia="Times New Roman" w:hAnsi="Verdana" w:cs="Arial"/>
          <w:color w:val="000000"/>
        </w:rPr>
      </w:pPr>
      <w:bookmarkStart w:id="14" w:name="_Toc342985089"/>
      <w:r w:rsidRPr="00096827">
        <w:rPr>
          <w:rFonts w:ascii="Verdana" w:eastAsia="Times New Roman" w:hAnsi="Verdana" w:cs="Arial"/>
          <w:b/>
          <w:bCs/>
          <w:iCs/>
          <w:szCs w:val="24"/>
          <w:lang w:eastAsia="es-ES"/>
        </w:rPr>
        <w:t>V</w:t>
      </w:r>
      <w:r w:rsidR="00595137">
        <w:rPr>
          <w:rFonts w:ascii="Verdana" w:eastAsia="Times New Roman" w:hAnsi="Verdana" w:cs="Arial"/>
          <w:b/>
          <w:bCs/>
          <w:iCs/>
          <w:szCs w:val="24"/>
          <w:lang w:eastAsia="es-ES"/>
        </w:rPr>
        <w:t>II</w:t>
      </w:r>
      <w:r w:rsidRPr="00096827">
        <w:rPr>
          <w:rFonts w:ascii="Verdana" w:eastAsia="Times New Roman" w:hAnsi="Verdana" w:cs="Arial"/>
          <w:b/>
          <w:bCs/>
          <w:iCs/>
          <w:szCs w:val="24"/>
          <w:lang w:eastAsia="es-ES"/>
        </w:rPr>
        <w:t xml:space="preserve">. </w:t>
      </w:r>
      <w:r w:rsidRPr="00096827">
        <w:rPr>
          <w:rFonts w:ascii="Verdana" w:eastAsia="Times New Roman" w:hAnsi="Verdana" w:cs="Arial"/>
          <w:b/>
          <w:bCs/>
          <w:iCs/>
          <w:szCs w:val="24"/>
          <w:lang w:eastAsia="es-ES"/>
        </w:rPr>
        <w:tab/>
      </w:r>
      <w:r w:rsidRPr="00096827">
        <w:rPr>
          <w:rFonts w:ascii="Verdana" w:eastAsia="Times New Roman" w:hAnsi="Verdana" w:cs="Arial"/>
          <w:b/>
          <w:bCs/>
          <w:iCs/>
          <w:szCs w:val="24"/>
          <w:u w:val="single"/>
          <w:lang w:eastAsia="es-ES"/>
        </w:rPr>
        <w:t>ANÁLISIS DE IMPACTO</w:t>
      </w:r>
      <w:r w:rsidR="00595137">
        <w:rPr>
          <w:rFonts w:ascii="Verdana" w:eastAsia="Times New Roman" w:hAnsi="Verdana" w:cs="Arial"/>
          <w:b/>
          <w:bCs/>
          <w:iCs/>
          <w:szCs w:val="24"/>
          <w:u w:val="single"/>
          <w:lang w:eastAsia="es-ES"/>
        </w:rPr>
        <w:t>S</w:t>
      </w:r>
      <w:r w:rsidRPr="00096827">
        <w:rPr>
          <w:rFonts w:ascii="Verdana" w:eastAsia="Times New Roman" w:hAnsi="Verdana" w:cs="Arial"/>
          <w:b/>
          <w:bCs/>
          <w:iCs/>
          <w:szCs w:val="24"/>
          <w:u w:val="single"/>
          <w:lang w:eastAsia="es-ES"/>
        </w:rPr>
        <w:t xml:space="preserve"> </w:t>
      </w:r>
      <w:bookmarkEnd w:id="14"/>
    </w:p>
    <w:p w14:paraId="3FF663D0" w14:textId="544CB502" w:rsidR="0063584C" w:rsidRPr="00064A9E" w:rsidRDefault="0063584C" w:rsidP="0063584C">
      <w:pPr>
        <w:keepNext/>
        <w:numPr>
          <w:ilvl w:val="0"/>
          <w:numId w:val="4"/>
        </w:numPr>
        <w:spacing w:before="240" w:after="240" w:line="360" w:lineRule="auto"/>
        <w:ind w:hanging="720"/>
        <w:jc w:val="both"/>
        <w:outlineLvl w:val="3"/>
        <w:rPr>
          <w:rFonts w:ascii="Verdana" w:eastAsia="Times New Roman" w:hAnsi="Verdana" w:cs="Arial"/>
          <w:b/>
          <w:bCs/>
          <w:iCs/>
          <w:u w:val="single"/>
          <w:lang w:eastAsia="es-ES"/>
        </w:rPr>
      </w:pPr>
      <w:r w:rsidRPr="00064A9E">
        <w:rPr>
          <w:rFonts w:ascii="Verdana" w:eastAsia="Times New Roman" w:hAnsi="Verdana" w:cs="Arial"/>
          <w:b/>
          <w:bCs/>
          <w:iCs/>
          <w:u w:val="single"/>
          <w:lang w:eastAsia="es-ES"/>
        </w:rPr>
        <w:t>Impacto presupuestario.</w:t>
      </w:r>
    </w:p>
    <w:p w14:paraId="6A6002C5" w14:textId="5F410EA5" w:rsidR="0063584C" w:rsidRPr="00EA4245" w:rsidRDefault="00D770DE" w:rsidP="0063584C">
      <w:pPr>
        <w:spacing w:before="120" w:after="120" w:line="360" w:lineRule="auto"/>
        <w:jc w:val="both"/>
        <w:rPr>
          <w:rFonts w:ascii="Verdana" w:eastAsia="Times New Roman" w:hAnsi="Verdana" w:cs="Times New Roman"/>
          <w:color w:val="000000" w:themeColor="text1"/>
        </w:rPr>
      </w:pPr>
      <w:r w:rsidRPr="00D770DE">
        <w:rPr>
          <w:rFonts w:ascii="Verdana" w:eastAsia="Times New Roman" w:hAnsi="Verdana" w:cs="Times New Roman"/>
          <w:color w:val="000000" w:themeColor="text1"/>
        </w:rPr>
        <w:t>La norma no tiene impacto presupuestario</w:t>
      </w:r>
      <w:r w:rsidR="004F6348">
        <w:rPr>
          <w:rFonts w:ascii="Verdana" w:eastAsia="Times New Roman" w:hAnsi="Verdana" w:cs="Times New Roman"/>
          <w:color w:val="000000" w:themeColor="text1"/>
        </w:rPr>
        <w:t>.</w:t>
      </w:r>
    </w:p>
    <w:p w14:paraId="601B7243" w14:textId="5DDBB1CC" w:rsidR="0079445A" w:rsidRPr="00064A9E" w:rsidRDefault="0079445A" w:rsidP="0079445A">
      <w:pPr>
        <w:keepNext/>
        <w:numPr>
          <w:ilvl w:val="0"/>
          <w:numId w:val="4"/>
        </w:numPr>
        <w:spacing w:before="240" w:after="240" w:line="360" w:lineRule="auto"/>
        <w:jc w:val="both"/>
        <w:outlineLvl w:val="2"/>
        <w:rPr>
          <w:rFonts w:ascii="Verdana" w:eastAsia="Times New Roman" w:hAnsi="Verdana" w:cs="Arial"/>
          <w:b/>
          <w:iCs/>
          <w:u w:val="single"/>
          <w:lang w:eastAsia="es-ES"/>
        </w:rPr>
      </w:pPr>
      <w:bookmarkStart w:id="15" w:name="_Toc342985092"/>
      <w:r w:rsidRPr="00064A9E">
        <w:rPr>
          <w:rFonts w:ascii="Verdana" w:eastAsia="Times New Roman" w:hAnsi="Verdana" w:cs="Arial"/>
          <w:b/>
          <w:iCs/>
          <w:u w:val="single"/>
          <w:lang w:eastAsia="es-ES"/>
        </w:rPr>
        <w:lastRenderedPageBreak/>
        <w:t>Impacto por razón de género.</w:t>
      </w:r>
      <w:bookmarkEnd w:id="15"/>
    </w:p>
    <w:p w14:paraId="17FB69FB" w14:textId="5040C17D" w:rsidR="0079445A" w:rsidRDefault="00D770DE" w:rsidP="0079445A">
      <w:pPr>
        <w:spacing w:before="120" w:after="120" w:line="360" w:lineRule="auto"/>
        <w:jc w:val="both"/>
        <w:rPr>
          <w:rFonts w:ascii="Verdana" w:eastAsia="Times New Roman" w:hAnsi="Verdana" w:cs="Arial"/>
          <w:color w:val="000000"/>
        </w:rPr>
      </w:pPr>
      <w:r w:rsidRPr="00D770DE">
        <w:rPr>
          <w:rFonts w:ascii="Verdana" w:eastAsia="Times New Roman" w:hAnsi="Verdana" w:cs="Arial"/>
          <w:color w:val="000000"/>
        </w:rPr>
        <w:t>Este proyecto no tiene un impacto por razón de género, dado que las retribuciones no contemplan diferencias por esta razón</w:t>
      </w:r>
      <w:r w:rsidR="0079445A" w:rsidRPr="00D7077E">
        <w:rPr>
          <w:rFonts w:ascii="Verdana" w:eastAsia="Times New Roman" w:hAnsi="Verdana" w:cs="Arial"/>
          <w:color w:val="000000"/>
        </w:rPr>
        <w:t>.</w:t>
      </w:r>
    </w:p>
    <w:p w14:paraId="02ABEDBB" w14:textId="77777777" w:rsidR="0079445A" w:rsidRPr="00064A9E" w:rsidRDefault="0079445A" w:rsidP="0079445A">
      <w:pPr>
        <w:keepNext/>
        <w:numPr>
          <w:ilvl w:val="0"/>
          <w:numId w:val="4"/>
        </w:numPr>
        <w:spacing w:before="240" w:after="240" w:line="360" w:lineRule="auto"/>
        <w:ind w:hanging="720"/>
        <w:jc w:val="both"/>
        <w:outlineLvl w:val="2"/>
        <w:rPr>
          <w:rFonts w:ascii="Verdana" w:eastAsia="Times New Roman" w:hAnsi="Verdana" w:cs="Arial"/>
          <w:b/>
          <w:iCs/>
          <w:u w:val="single"/>
          <w:lang w:eastAsia="es-ES"/>
        </w:rPr>
      </w:pPr>
      <w:bookmarkStart w:id="16" w:name="_Hlk189572338"/>
      <w:r w:rsidRPr="00064A9E">
        <w:rPr>
          <w:rFonts w:ascii="Verdana" w:eastAsia="Times New Roman" w:hAnsi="Verdana" w:cs="Arial"/>
          <w:b/>
          <w:iCs/>
          <w:u w:val="single"/>
          <w:lang w:eastAsia="es-ES"/>
        </w:rPr>
        <w:t>Impacto por razón de cambio climático.</w:t>
      </w:r>
    </w:p>
    <w:p w14:paraId="18CBC227" w14:textId="52DD5EF5" w:rsidR="0079445A" w:rsidRPr="00D7077E" w:rsidRDefault="0079445A" w:rsidP="0079445A">
      <w:pPr>
        <w:spacing w:before="120" w:after="120" w:line="360" w:lineRule="auto"/>
        <w:jc w:val="both"/>
        <w:rPr>
          <w:rFonts w:ascii="Verdana" w:eastAsia="Times New Roman" w:hAnsi="Verdana" w:cs="Arial"/>
          <w:color w:val="000000"/>
        </w:rPr>
      </w:pPr>
      <w:r w:rsidRPr="00D7077E">
        <w:rPr>
          <w:rFonts w:ascii="Verdana" w:eastAsia="Times New Roman" w:hAnsi="Verdana" w:cs="Arial"/>
          <w:color w:val="000000"/>
        </w:rPr>
        <w:t xml:space="preserve">De conformidad con lo dispuesto en el artículo 26.3 h) de la Ley 50/1997, de 27 de noviembre, del Gobierno, se ha analizado y valorado la influencia que la aprobación </w:t>
      </w:r>
      <w:r w:rsidR="004F6348">
        <w:rPr>
          <w:rFonts w:ascii="Verdana" w:eastAsia="Times New Roman" w:hAnsi="Verdana" w:cs="Arial"/>
          <w:color w:val="000000"/>
        </w:rPr>
        <w:t xml:space="preserve">de esta Orden Ministerial </w:t>
      </w:r>
      <w:r w:rsidRPr="00D7077E">
        <w:rPr>
          <w:rFonts w:ascii="Verdana" w:eastAsia="Times New Roman" w:hAnsi="Verdana" w:cs="Arial"/>
          <w:color w:val="000000"/>
        </w:rPr>
        <w:t>pudiera tener desde la perspectiva de la mitigación y adaptación al cambio climático</w:t>
      </w:r>
      <w:r w:rsidR="00D770DE">
        <w:rPr>
          <w:rFonts w:ascii="Verdana" w:eastAsia="Times New Roman" w:hAnsi="Verdana" w:cs="Arial"/>
          <w:color w:val="000000"/>
        </w:rPr>
        <w:t xml:space="preserve"> sin que se aprecien impactos.</w:t>
      </w:r>
    </w:p>
    <w:bookmarkEnd w:id="16"/>
    <w:p w14:paraId="3BA5A35A" w14:textId="1163DB59" w:rsidR="00D770DE" w:rsidRPr="00064A9E" w:rsidRDefault="00D770DE" w:rsidP="00D770DE">
      <w:pPr>
        <w:keepNext/>
        <w:numPr>
          <w:ilvl w:val="0"/>
          <w:numId w:val="4"/>
        </w:numPr>
        <w:spacing w:before="240" w:after="240" w:line="360" w:lineRule="auto"/>
        <w:jc w:val="both"/>
        <w:outlineLvl w:val="2"/>
        <w:rPr>
          <w:rFonts w:ascii="Verdana" w:eastAsia="Times New Roman" w:hAnsi="Verdana" w:cs="Arial"/>
          <w:b/>
          <w:iCs/>
          <w:u w:val="single"/>
          <w:lang w:eastAsia="es-ES"/>
        </w:rPr>
      </w:pPr>
      <w:r w:rsidRPr="00D770DE">
        <w:rPr>
          <w:rFonts w:ascii="Verdana" w:eastAsia="Times New Roman" w:hAnsi="Verdana" w:cs="Arial"/>
          <w:b/>
          <w:iCs/>
          <w:u w:val="single"/>
          <w:lang w:eastAsia="es-ES"/>
        </w:rPr>
        <w:t>Impacto a la infancia y a la adolescencia</w:t>
      </w:r>
      <w:r w:rsidRPr="00064A9E">
        <w:rPr>
          <w:rFonts w:ascii="Verdana" w:eastAsia="Times New Roman" w:hAnsi="Verdana" w:cs="Arial"/>
          <w:b/>
          <w:iCs/>
          <w:u w:val="single"/>
          <w:lang w:eastAsia="es-ES"/>
        </w:rPr>
        <w:t>.</w:t>
      </w:r>
    </w:p>
    <w:p w14:paraId="5C788870" w14:textId="207EEC7A" w:rsidR="00D770DE" w:rsidRPr="00D7077E" w:rsidRDefault="00D770DE" w:rsidP="00D770DE">
      <w:pPr>
        <w:spacing w:before="120" w:after="120" w:line="360" w:lineRule="auto"/>
        <w:jc w:val="both"/>
        <w:rPr>
          <w:rFonts w:ascii="Verdana" w:eastAsia="Times New Roman" w:hAnsi="Verdana" w:cs="Arial"/>
          <w:color w:val="000000"/>
        </w:rPr>
      </w:pPr>
      <w:r w:rsidRPr="00D770DE">
        <w:rPr>
          <w:rFonts w:ascii="Verdana" w:eastAsia="Times New Roman" w:hAnsi="Verdana" w:cs="Arial"/>
          <w:color w:val="000000"/>
        </w:rPr>
        <w:t>De conformidad con lo dispuesto en el artículo 22 quinquies de la Ley Orgánica 1/1996, de 15 de enero, de Protección jurídica del menor, de modificación parcial del Código Civil y de la Ley de Enjuiciamiento Civil, en la redacción dada por la Ley 25/2015, de 28 de julio, de modificación del sistema de protección a la infancia y a la adolescencia, este proyecto tiene impacto nulo</w:t>
      </w:r>
      <w:r w:rsidRPr="00D7077E">
        <w:rPr>
          <w:rFonts w:ascii="Verdana" w:eastAsia="Times New Roman" w:hAnsi="Verdana" w:cs="Arial"/>
          <w:color w:val="000000"/>
        </w:rPr>
        <w:t>.</w:t>
      </w:r>
    </w:p>
    <w:p w14:paraId="039BA8E1" w14:textId="65FAE945" w:rsidR="00D770DE" w:rsidRPr="00064A9E" w:rsidRDefault="00D770DE" w:rsidP="00D770DE">
      <w:pPr>
        <w:keepNext/>
        <w:numPr>
          <w:ilvl w:val="0"/>
          <w:numId w:val="4"/>
        </w:numPr>
        <w:spacing w:before="240" w:after="240" w:line="360" w:lineRule="auto"/>
        <w:jc w:val="both"/>
        <w:outlineLvl w:val="2"/>
        <w:rPr>
          <w:rFonts w:ascii="Verdana" w:eastAsia="Times New Roman" w:hAnsi="Verdana" w:cs="Arial"/>
          <w:b/>
          <w:iCs/>
          <w:u w:val="single"/>
          <w:lang w:eastAsia="es-ES"/>
        </w:rPr>
      </w:pPr>
      <w:r w:rsidRPr="00D770DE">
        <w:rPr>
          <w:rFonts w:ascii="Verdana" w:eastAsia="Times New Roman" w:hAnsi="Verdana" w:cs="Arial"/>
          <w:b/>
          <w:iCs/>
          <w:u w:val="single"/>
          <w:lang w:eastAsia="es-ES"/>
        </w:rPr>
        <w:t>Impacto a la familia</w:t>
      </w:r>
      <w:r w:rsidRPr="00064A9E">
        <w:rPr>
          <w:rFonts w:ascii="Verdana" w:eastAsia="Times New Roman" w:hAnsi="Verdana" w:cs="Arial"/>
          <w:b/>
          <w:iCs/>
          <w:u w:val="single"/>
          <w:lang w:eastAsia="es-ES"/>
        </w:rPr>
        <w:t>.</w:t>
      </w:r>
    </w:p>
    <w:p w14:paraId="05AA5FF6" w14:textId="3598A4F3" w:rsidR="00D770DE" w:rsidRPr="00D7077E" w:rsidRDefault="00D770DE" w:rsidP="00D770DE">
      <w:pPr>
        <w:spacing w:before="120" w:after="120" w:line="360" w:lineRule="auto"/>
        <w:jc w:val="both"/>
        <w:rPr>
          <w:rFonts w:ascii="Verdana" w:eastAsia="Times New Roman" w:hAnsi="Verdana" w:cs="Arial"/>
          <w:color w:val="000000"/>
        </w:rPr>
      </w:pPr>
      <w:r w:rsidRPr="00D770DE">
        <w:rPr>
          <w:rFonts w:ascii="Verdana" w:eastAsia="Times New Roman" w:hAnsi="Verdana" w:cs="Arial"/>
          <w:color w:val="000000"/>
        </w:rPr>
        <w:t xml:space="preserve">De conformidad con lo dispuesto en la disposición adicional décima de la Ley 40/2003, de 18 de noviembre, de protección a las familias numerosas, introducida por la disposición final quinta de la Ley 25/2015, de 28 de julio, de modificación del sistema de protección a la infancia y a la adolescencia, este proyecto de </w:t>
      </w:r>
      <w:r w:rsidR="00F4263E">
        <w:rPr>
          <w:rFonts w:ascii="Verdana" w:eastAsia="Times New Roman" w:hAnsi="Verdana" w:cs="Arial"/>
          <w:color w:val="000000"/>
        </w:rPr>
        <w:t xml:space="preserve">Orden Ministerial </w:t>
      </w:r>
      <w:r w:rsidRPr="00D770DE">
        <w:rPr>
          <w:rFonts w:ascii="Verdana" w:eastAsia="Times New Roman" w:hAnsi="Verdana" w:cs="Arial"/>
          <w:color w:val="000000"/>
        </w:rPr>
        <w:t>tiene impacto nulo</w:t>
      </w:r>
      <w:r w:rsidRPr="00D7077E">
        <w:rPr>
          <w:rFonts w:ascii="Verdana" w:eastAsia="Times New Roman" w:hAnsi="Verdana" w:cs="Arial"/>
          <w:color w:val="000000"/>
        </w:rPr>
        <w:t>.</w:t>
      </w:r>
    </w:p>
    <w:p w14:paraId="1D188DB9" w14:textId="77777777" w:rsidR="00D770DE" w:rsidRDefault="00D770DE" w:rsidP="00EA3EE8">
      <w:pPr>
        <w:spacing w:before="120" w:after="120" w:line="360" w:lineRule="auto"/>
        <w:jc w:val="both"/>
        <w:rPr>
          <w:rFonts w:ascii="Verdana" w:eastAsia="Times New Roman" w:hAnsi="Verdana" w:cs="Arial"/>
          <w:color w:val="000000"/>
        </w:rPr>
      </w:pPr>
    </w:p>
    <w:p w14:paraId="24EC1176" w14:textId="648209A8" w:rsidR="00967E70" w:rsidRPr="00EA3EE8" w:rsidRDefault="00967E70" w:rsidP="00EA3EE8">
      <w:pPr>
        <w:spacing w:before="120" w:after="120" w:line="360" w:lineRule="auto"/>
        <w:jc w:val="both"/>
        <w:rPr>
          <w:rFonts w:ascii="Verdana" w:eastAsia="Times New Roman" w:hAnsi="Verdana" w:cs="Arial"/>
          <w:b/>
          <w:bCs/>
          <w:iCs/>
          <w:szCs w:val="24"/>
          <w:u w:val="single"/>
          <w:lang w:eastAsia="es-ES"/>
        </w:rPr>
      </w:pPr>
      <w:r w:rsidRPr="00EA3EE8">
        <w:rPr>
          <w:rFonts w:ascii="Verdana" w:eastAsia="Times New Roman" w:hAnsi="Verdana" w:cs="Arial"/>
          <w:b/>
          <w:bCs/>
          <w:iCs/>
          <w:szCs w:val="24"/>
          <w:lang w:eastAsia="es-ES"/>
        </w:rPr>
        <w:t xml:space="preserve">VII. </w:t>
      </w:r>
      <w:r w:rsidRPr="00EA3EE8">
        <w:rPr>
          <w:rFonts w:ascii="Verdana" w:eastAsia="Times New Roman" w:hAnsi="Verdana" w:cs="Arial"/>
          <w:b/>
          <w:bCs/>
          <w:iCs/>
          <w:szCs w:val="24"/>
          <w:lang w:eastAsia="es-ES"/>
        </w:rPr>
        <w:tab/>
      </w:r>
      <w:r>
        <w:rPr>
          <w:rFonts w:ascii="Verdana" w:eastAsia="Times New Roman" w:hAnsi="Verdana" w:cs="Arial"/>
          <w:b/>
          <w:bCs/>
          <w:iCs/>
          <w:szCs w:val="24"/>
          <w:u w:val="single"/>
          <w:lang w:eastAsia="es-ES"/>
        </w:rPr>
        <w:t>EVALUACIÓN EX POST</w:t>
      </w:r>
      <w:r w:rsidRPr="00EA3EE8">
        <w:rPr>
          <w:rFonts w:ascii="Verdana" w:eastAsia="Times New Roman" w:hAnsi="Verdana" w:cs="Arial"/>
          <w:b/>
          <w:bCs/>
          <w:iCs/>
          <w:szCs w:val="24"/>
          <w:u w:val="single"/>
          <w:lang w:eastAsia="es-ES"/>
        </w:rPr>
        <w:t xml:space="preserve"> </w:t>
      </w:r>
    </w:p>
    <w:p w14:paraId="4C7D727D" w14:textId="54A4D73D" w:rsidR="006D129C" w:rsidRPr="00AD3CAF" w:rsidRDefault="0079445A" w:rsidP="00AD3CAF">
      <w:pPr>
        <w:spacing w:before="120" w:after="120" w:line="360" w:lineRule="auto"/>
        <w:jc w:val="both"/>
        <w:rPr>
          <w:rFonts w:ascii="Verdana" w:eastAsia="Times New Roman" w:hAnsi="Verdana" w:cs="Times New Roman"/>
          <w:szCs w:val="20"/>
          <w:lang w:eastAsia="es-ES"/>
        </w:rPr>
      </w:pPr>
      <w:r w:rsidRPr="00AD3CAF">
        <w:rPr>
          <w:rFonts w:ascii="Verdana" w:eastAsia="Times New Roman" w:hAnsi="Verdana" w:cs="Times New Roman"/>
          <w:szCs w:val="20"/>
          <w:lang w:eastAsia="es-ES"/>
        </w:rPr>
        <w:t xml:space="preserve">Conforme a los artículos 28.2 de la Ley 50/1997, de 27 de noviembre, del Gobierno, y el artículo 2.5 del Real Decreto 286/2017, de 24 de marzo, por el que se regulan el Plan Anual Normativo y el Informe Anual de Evaluación Normativa de la Administración General del Estado y se crea la Junta de Planificación y Evaluación Normativa, </w:t>
      </w:r>
      <w:r w:rsidR="00AD3CAF" w:rsidRPr="00AD3CAF">
        <w:rPr>
          <w:rFonts w:ascii="Verdana" w:eastAsia="Times New Roman" w:hAnsi="Verdana" w:cs="Times New Roman"/>
          <w:szCs w:val="20"/>
          <w:lang w:eastAsia="es-ES"/>
        </w:rPr>
        <w:t xml:space="preserve">no </w:t>
      </w:r>
      <w:r w:rsidRPr="00AD3CAF">
        <w:rPr>
          <w:rFonts w:ascii="Verdana" w:eastAsia="Times New Roman" w:hAnsi="Verdana" w:cs="Times New Roman"/>
          <w:szCs w:val="20"/>
          <w:lang w:eastAsia="es-ES"/>
        </w:rPr>
        <w:t xml:space="preserve">se considera oportuno establecer un control ex post de la aplicación de la presente reforma, </w:t>
      </w:r>
      <w:r w:rsidR="00AD3CAF" w:rsidRPr="00AD3CAF">
        <w:rPr>
          <w:rFonts w:ascii="Verdana" w:eastAsia="Times New Roman" w:hAnsi="Verdana" w:cs="Times New Roman"/>
          <w:szCs w:val="20"/>
          <w:lang w:eastAsia="es-ES"/>
        </w:rPr>
        <w:t xml:space="preserve">dado que sus efectos se perfeccionan con la aprobación de </w:t>
      </w:r>
      <w:r w:rsidR="000562B4" w:rsidRPr="00AD3CAF">
        <w:rPr>
          <w:rFonts w:ascii="Verdana" w:eastAsia="Times New Roman" w:hAnsi="Verdana" w:cs="Times New Roman"/>
          <w:szCs w:val="20"/>
          <w:lang w:eastAsia="es-ES"/>
        </w:rPr>
        <w:t>esta</w:t>
      </w:r>
      <w:r w:rsidR="000562B4">
        <w:rPr>
          <w:rFonts w:ascii="Verdana" w:eastAsia="Times New Roman" w:hAnsi="Verdana" w:cs="Times New Roman"/>
          <w:szCs w:val="20"/>
          <w:lang w:eastAsia="es-ES"/>
        </w:rPr>
        <w:t>.</w:t>
      </w:r>
    </w:p>
    <w:sectPr w:rsidR="006D129C" w:rsidRPr="00AD3CAF" w:rsidSect="00EE487E">
      <w:footerReference w:type="default" r:id="rId7"/>
      <w:pgSz w:w="11906" w:h="16838"/>
      <w:pgMar w:top="1417" w:right="1701" w:bottom="1417" w:left="1701" w:header="708" w:footer="708" w:gutter="0"/>
      <w:pgBorders w:offsetFrom="page">
        <w:top w:val="single" w:sz="6" w:space="24" w:color="000000"/>
        <w:left w:val="single" w:sz="6" w:space="24" w:color="000000"/>
        <w:bottom w:val="single" w:sz="6" w:space="24" w:color="000000"/>
        <w:right w:val="single" w:sz="6" w:space="24"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08FB" w14:textId="77777777" w:rsidR="00CE0567" w:rsidRDefault="00CE0567">
      <w:pPr>
        <w:spacing w:after="0" w:line="240" w:lineRule="auto"/>
      </w:pPr>
      <w:r>
        <w:separator/>
      </w:r>
    </w:p>
  </w:endnote>
  <w:endnote w:type="continuationSeparator" w:id="0">
    <w:p w14:paraId="7645D74D" w14:textId="77777777" w:rsidR="00CE0567" w:rsidRDefault="00CE0567">
      <w:pPr>
        <w:spacing w:after="0" w:line="240" w:lineRule="auto"/>
      </w:pPr>
      <w:r>
        <w:continuationSeparator/>
      </w:r>
    </w:p>
  </w:endnote>
  <w:endnote w:type="continuationNotice" w:id="1">
    <w:p w14:paraId="6ADCDA2E" w14:textId="77777777" w:rsidR="00CE0567" w:rsidRDefault="00CE0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63072"/>
      <w:docPartObj>
        <w:docPartGallery w:val="Page Numbers (Bottom of Page)"/>
        <w:docPartUnique/>
      </w:docPartObj>
    </w:sdtPr>
    <w:sdtContent>
      <w:p w14:paraId="22FC176C" w14:textId="0D02DA22" w:rsidR="00CB1FAE" w:rsidRDefault="004B4B29">
        <w:pPr>
          <w:pStyle w:val="Piedepgina"/>
          <w:jc w:val="right"/>
        </w:pPr>
        <w:r>
          <w:fldChar w:fldCharType="begin"/>
        </w:r>
        <w:r>
          <w:instrText>PAGE   \* MERGEFORMAT</w:instrText>
        </w:r>
        <w:r>
          <w:fldChar w:fldCharType="separate"/>
        </w:r>
        <w:r w:rsidR="007A6E3E">
          <w:rPr>
            <w:noProof/>
          </w:rPr>
          <w:t>17</w:t>
        </w:r>
        <w:r>
          <w:fldChar w:fldCharType="end"/>
        </w:r>
      </w:p>
    </w:sdtContent>
  </w:sdt>
  <w:p w14:paraId="3C1B55EA" w14:textId="77777777" w:rsidR="00CB1FAE" w:rsidRDefault="00CB1F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2B51" w14:textId="77777777" w:rsidR="00CE0567" w:rsidRDefault="00CE0567">
      <w:pPr>
        <w:spacing w:after="0" w:line="240" w:lineRule="auto"/>
      </w:pPr>
      <w:r>
        <w:separator/>
      </w:r>
    </w:p>
  </w:footnote>
  <w:footnote w:type="continuationSeparator" w:id="0">
    <w:p w14:paraId="0A50B5BC" w14:textId="77777777" w:rsidR="00CE0567" w:rsidRDefault="00CE0567">
      <w:pPr>
        <w:spacing w:after="0" w:line="240" w:lineRule="auto"/>
      </w:pPr>
      <w:r>
        <w:continuationSeparator/>
      </w:r>
    </w:p>
  </w:footnote>
  <w:footnote w:type="continuationNotice" w:id="1">
    <w:p w14:paraId="43C0A1BD" w14:textId="77777777" w:rsidR="00CE0567" w:rsidRDefault="00CE0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8C"/>
    <w:multiLevelType w:val="hybridMultilevel"/>
    <w:tmpl w:val="02AE4482"/>
    <w:lvl w:ilvl="0" w:tplc="0C0A0017">
      <w:start w:val="1"/>
      <w:numFmt w:val="lowerLetter"/>
      <w:lvlText w:val="%1)"/>
      <w:lvlJc w:val="left"/>
      <w:pPr>
        <w:ind w:left="821" w:hanging="360"/>
      </w:pPr>
    </w:lvl>
    <w:lvl w:ilvl="1" w:tplc="0C0A0019" w:tentative="1">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1" w15:restartNumberingAfterBreak="0">
    <w:nsid w:val="0AB200AC"/>
    <w:multiLevelType w:val="hybridMultilevel"/>
    <w:tmpl w:val="AD5E6858"/>
    <w:lvl w:ilvl="0" w:tplc="7BD8A50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51389"/>
    <w:multiLevelType w:val="hybridMultilevel"/>
    <w:tmpl w:val="C98E0672"/>
    <w:lvl w:ilvl="0" w:tplc="4D6473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BFB"/>
    <w:multiLevelType w:val="hybridMultilevel"/>
    <w:tmpl w:val="8C3EB8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5F2482"/>
    <w:multiLevelType w:val="hybridMultilevel"/>
    <w:tmpl w:val="A3708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E77C1C"/>
    <w:multiLevelType w:val="hybridMultilevel"/>
    <w:tmpl w:val="6B0C43FC"/>
    <w:lvl w:ilvl="0" w:tplc="0C0A0001">
      <w:start w:val="1"/>
      <w:numFmt w:val="bullet"/>
      <w:lvlText w:val=""/>
      <w:lvlJc w:val="left"/>
      <w:pPr>
        <w:ind w:left="701" w:hanging="600"/>
      </w:pPr>
      <w:rPr>
        <w:rFonts w:ascii="Symbol" w:hAnsi="Symbol"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6" w15:restartNumberingAfterBreak="0">
    <w:nsid w:val="1A044678"/>
    <w:multiLevelType w:val="hybridMultilevel"/>
    <w:tmpl w:val="725CA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716B0"/>
    <w:multiLevelType w:val="hybridMultilevel"/>
    <w:tmpl w:val="F11EB13A"/>
    <w:lvl w:ilvl="0" w:tplc="ADAAFCB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BE1A0D"/>
    <w:multiLevelType w:val="hybridMultilevel"/>
    <w:tmpl w:val="E1669BA0"/>
    <w:lvl w:ilvl="0" w:tplc="C15458B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ED17447"/>
    <w:multiLevelType w:val="hybridMultilevel"/>
    <w:tmpl w:val="93B40C9E"/>
    <w:lvl w:ilvl="0" w:tplc="8B1E62FE">
      <w:start w:val="1"/>
      <w:numFmt w:val="decimal"/>
      <w:lvlText w:val="%1."/>
      <w:lvlJc w:val="left"/>
      <w:pPr>
        <w:ind w:left="720" w:hanging="360"/>
      </w:pPr>
      <w:rPr>
        <w:rFonts w:hint="default"/>
        <w:b/>
        <w:bCs/>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710A99"/>
    <w:multiLevelType w:val="hybridMultilevel"/>
    <w:tmpl w:val="7BE455D0"/>
    <w:lvl w:ilvl="0" w:tplc="0198675A">
      <w:numFmt w:val="bullet"/>
      <w:lvlText w:val="-"/>
      <w:lvlJc w:val="left"/>
      <w:pPr>
        <w:ind w:left="720" w:hanging="360"/>
      </w:pPr>
      <w:rPr>
        <w:rFonts w:ascii="Verdana" w:eastAsia="Arial Unicode MS" w:hAnsi="Verdana"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AB2682"/>
    <w:multiLevelType w:val="hybridMultilevel"/>
    <w:tmpl w:val="BC524350"/>
    <w:lvl w:ilvl="0" w:tplc="5534103A">
      <w:numFmt w:val="bullet"/>
      <w:lvlText w:val="-"/>
      <w:lvlJc w:val="left"/>
      <w:pPr>
        <w:ind w:left="720" w:hanging="360"/>
      </w:pPr>
      <w:rPr>
        <w:rFonts w:ascii="Verdana" w:eastAsia="Arial Unicode MS" w:hAnsi="Verdana"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A9124D"/>
    <w:multiLevelType w:val="hybridMultilevel"/>
    <w:tmpl w:val="CCA8F66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E6380C"/>
    <w:multiLevelType w:val="hybridMultilevel"/>
    <w:tmpl w:val="3E4E9832"/>
    <w:lvl w:ilvl="0" w:tplc="283262C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765BA4"/>
    <w:multiLevelType w:val="hybridMultilevel"/>
    <w:tmpl w:val="4920CB60"/>
    <w:lvl w:ilvl="0" w:tplc="05A294DC">
      <w:numFmt w:val="bullet"/>
      <w:lvlText w:val="-"/>
      <w:lvlJc w:val="left"/>
      <w:pPr>
        <w:ind w:left="720" w:hanging="360"/>
      </w:pPr>
      <w:rPr>
        <w:rFonts w:ascii="Verdana" w:eastAsia="Arial Unicode MS" w:hAnsi="Verdana"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537A44"/>
    <w:multiLevelType w:val="hybridMultilevel"/>
    <w:tmpl w:val="166ED7E2"/>
    <w:lvl w:ilvl="0" w:tplc="7EB0B610">
      <w:start w:val="1"/>
      <w:numFmt w:val="bullet"/>
      <w:lvlText w:val="-"/>
      <w:lvlJc w:val="left"/>
      <w:pPr>
        <w:ind w:left="1287" w:hanging="360"/>
      </w:pPr>
      <w:rPr>
        <w:rFonts w:ascii="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31996D14"/>
    <w:multiLevelType w:val="hybridMultilevel"/>
    <w:tmpl w:val="BBCE5BB2"/>
    <w:lvl w:ilvl="0" w:tplc="EBEEBE44">
      <w:numFmt w:val="bullet"/>
      <w:lvlText w:val="•"/>
      <w:lvlJc w:val="left"/>
      <w:pPr>
        <w:ind w:left="701" w:hanging="600"/>
      </w:pPr>
      <w:rPr>
        <w:rFonts w:ascii="Verdana" w:eastAsia="Times New Roman" w:hAnsi="Verdana" w:cs="Arial" w:hint="default"/>
      </w:rPr>
    </w:lvl>
    <w:lvl w:ilvl="1" w:tplc="0C0A0003" w:tentative="1">
      <w:start w:val="1"/>
      <w:numFmt w:val="bullet"/>
      <w:lvlText w:val="o"/>
      <w:lvlJc w:val="left"/>
      <w:pPr>
        <w:ind w:left="1181" w:hanging="360"/>
      </w:pPr>
      <w:rPr>
        <w:rFonts w:ascii="Courier New" w:hAnsi="Courier New" w:cs="Courier New" w:hint="default"/>
      </w:rPr>
    </w:lvl>
    <w:lvl w:ilvl="2" w:tplc="0C0A0005" w:tentative="1">
      <w:start w:val="1"/>
      <w:numFmt w:val="bullet"/>
      <w:lvlText w:val=""/>
      <w:lvlJc w:val="left"/>
      <w:pPr>
        <w:ind w:left="1901" w:hanging="360"/>
      </w:pPr>
      <w:rPr>
        <w:rFonts w:ascii="Wingdings" w:hAnsi="Wingdings" w:hint="default"/>
      </w:rPr>
    </w:lvl>
    <w:lvl w:ilvl="3" w:tplc="0C0A0001" w:tentative="1">
      <w:start w:val="1"/>
      <w:numFmt w:val="bullet"/>
      <w:lvlText w:val=""/>
      <w:lvlJc w:val="left"/>
      <w:pPr>
        <w:ind w:left="2621" w:hanging="360"/>
      </w:pPr>
      <w:rPr>
        <w:rFonts w:ascii="Symbol" w:hAnsi="Symbol" w:hint="default"/>
      </w:rPr>
    </w:lvl>
    <w:lvl w:ilvl="4" w:tplc="0C0A0003" w:tentative="1">
      <w:start w:val="1"/>
      <w:numFmt w:val="bullet"/>
      <w:lvlText w:val="o"/>
      <w:lvlJc w:val="left"/>
      <w:pPr>
        <w:ind w:left="3341" w:hanging="360"/>
      </w:pPr>
      <w:rPr>
        <w:rFonts w:ascii="Courier New" w:hAnsi="Courier New" w:cs="Courier New" w:hint="default"/>
      </w:rPr>
    </w:lvl>
    <w:lvl w:ilvl="5" w:tplc="0C0A0005" w:tentative="1">
      <w:start w:val="1"/>
      <w:numFmt w:val="bullet"/>
      <w:lvlText w:val=""/>
      <w:lvlJc w:val="left"/>
      <w:pPr>
        <w:ind w:left="4061" w:hanging="360"/>
      </w:pPr>
      <w:rPr>
        <w:rFonts w:ascii="Wingdings" w:hAnsi="Wingdings" w:hint="default"/>
      </w:rPr>
    </w:lvl>
    <w:lvl w:ilvl="6" w:tplc="0C0A0001" w:tentative="1">
      <w:start w:val="1"/>
      <w:numFmt w:val="bullet"/>
      <w:lvlText w:val=""/>
      <w:lvlJc w:val="left"/>
      <w:pPr>
        <w:ind w:left="4781" w:hanging="360"/>
      </w:pPr>
      <w:rPr>
        <w:rFonts w:ascii="Symbol" w:hAnsi="Symbol" w:hint="default"/>
      </w:rPr>
    </w:lvl>
    <w:lvl w:ilvl="7" w:tplc="0C0A0003" w:tentative="1">
      <w:start w:val="1"/>
      <w:numFmt w:val="bullet"/>
      <w:lvlText w:val="o"/>
      <w:lvlJc w:val="left"/>
      <w:pPr>
        <w:ind w:left="5501" w:hanging="360"/>
      </w:pPr>
      <w:rPr>
        <w:rFonts w:ascii="Courier New" w:hAnsi="Courier New" w:cs="Courier New" w:hint="default"/>
      </w:rPr>
    </w:lvl>
    <w:lvl w:ilvl="8" w:tplc="0C0A0005" w:tentative="1">
      <w:start w:val="1"/>
      <w:numFmt w:val="bullet"/>
      <w:lvlText w:val=""/>
      <w:lvlJc w:val="left"/>
      <w:pPr>
        <w:ind w:left="6221" w:hanging="360"/>
      </w:pPr>
      <w:rPr>
        <w:rFonts w:ascii="Wingdings" w:hAnsi="Wingdings" w:hint="default"/>
      </w:rPr>
    </w:lvl>
  </w:abstractNum>
  <w:abstractNum w:abstractNumId="17" w15:restartNumberingAfterBreak="0">
    <w:nsid w:val="32F405BF"/>
    <w:multiLevelType w:val="hybridMultilevel"/>
    <w:tmpl w:val="1FAEA6CE"/>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18" w15:restartNumberingAfterBreak="0">
    <w:nsid w:val="37E62DFD"/>
    <w:multiLevelType w:val="hybridMultilevel"/>
    <w:tmpl w:val="7FEE7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EF556D"/>
    <w:multiLevelType w:val="hybridMultilevel"/>
    <w:tmpl w:val="3334B49C"/>
    <w:lvl w:ilvl="0" w:tplc="64741874">
      <w:start w:val="1"/>
      <w:numFmt w:val="lowerRoman"/>
      <w:lvlText w:val="(%1)"/>
      <w:lvlJc w:val="left"/>
      <w:pPr>
        <w:ind w:left="720" w:hanging="360"/>
      </w:pPr>
      <w:rPr>
        <w:rFonts w:ascii="Trebuchet MS" w:eastAsia="Times New Roman" w:hAnsi="Trebuchet MS"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D475E4"/>
    <w:multiLevelType w:val="hybridMultilevel"/>
    <w:tmpl w:val="2F786BD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8761623"/>
    <w:multiLevelType w:val="hybridMultilevel"/>
    <w:tmpl w:val="52F639CC"/>
    <w:lvl w:ilvl="0" w:tplc="D4CADFE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CAB7651"/>
    <w:multiLevelType w:val="hybridMultilevel"/>
    <w:tmpl w:val="611CF49C"/>
    <w:lvl w:ilvl="0" w:tplc="B0206412">
      <w:numFmt w:val="bullet"/>
      <w:lvlText w:val="-"/>
      <w:lvlJc w:val="left"/>
      <w:pPr>
        <w:tabs>
          <w:tab w:val="num" w:pos="927"/>
        </w:tabs>
        <w:ind w:left="927" w:hanging="360"/>
      </w:pPr>
      <w:rPr>
        <w:rFonts w:ascii="Verdana" w:eastAsia="Times New Roman" w:hAnsi="Verdana"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CE71000"/>
    <w:multiLevelType w:val="hybridMultilevel"/>
    <w:tmpl w:val="3BB89412"/>
    <w:lvl w:ilvl="0" w:tplc="007E4A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F1433E"/>
    <w:multiLevelType w:val="hybridMultilevel"/>
    <w:tmpl w:val="BCACC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BC726F"/>
    <w:multiLevelType w:val="hybridMultilevel"/>
    <w:tmpl w:val="28F22FCC"/>
    <w:lvl w:ilvl="0" w:tplc="2EC243B0">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B9236B"/>
    <w:multiLevelType w:val="multilevel"/>
    <w:tmpl w:val="FAC62DF0"/>
    <w:lvl w:ilvl="0">
      <w:start w:val="1"/>
      <w:numFmt w:val="upperLetter"/>
      <w:lvlText w:val="%1."/>
      <w:lvlJc w:val="left"/>
      <w:pPr>
        <w:ind w:left="425" w:hanging="425"/>
      </w:pPr>
      <w:rPr>
        <w:rFonts w:hint="default"/>
      </w:rPr>
    </w:lvl>
    <w:lvl w:ilvl="1">
      <w:start w:val="1"/>
      <w:numFmt w:val="decimal"/>
      <w:suff w:val="space"/>
      <w:lvlText w:val="%1.%2."/>
      <w:lvlJc w:val="left"/>
      <w:pPr>
        <w:ind w:left="3119" w:hanging="567"/>
      </w:pPr>
      <w:rPr>
        <w:rFonts w:hint="default"/>
      </w:rPr>
    </w:lvl>
    <w:lvl w:ilvl="2">
      <w:start w:val="1"/>
      <w:numFmt w:val="decimal"/>
      <w:suff w:val="space"/>
      <w:lvlText w:val="%1.%2.%3."/>
      <w:lvlJc w:val="left"/>
      <w:pPr>
        <w:ind w:left="680" w:hanging="68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5E1938FA"/>
    <w:multiLevelType w:val="hybridMultilevel"/>
    <w:tmpl w:val="21FC3D24"/>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8" w15:restartNumberingAfterBreak="0">
    <w:nsid w:val="61251765"/>
    <w:multiLevelType w:val="hybridMultilevel"/>
    <w:tmpl w:val="FD681454"/>
    <w:lvl w:ilvl="0" w:tplc="73FE46A8">
      <w:start w:val="4"/>
      <w:numFmt w:val="upperRoman"/>
      <w:lvlText w:val="%1."/>
      <w:lvlJc w:val="left"/>
      <w:pPr>
        <w:ind w:left="1440" w:hanging="720"/>
      </w:pPr>
      <w:rPr>
        <w:rFonts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7D46A94"/>
    <w:multiLevelType w:val="hybridMultilevel"/>
    <w:tmpl w:val="E976164A"/>
    <w:lvl w:ilvl="0" w:tplc="8A5ECB20">
      <w:start w:val="1"/>
      <w:numFmt w:val="bullet"/>
      <w:lvlText w:val=""/>
      <w:lvlJc w:val="left"/>
      <w:pPr>
        <w:ind w:left="1181" w:hanging="360"/>
      </w:pPr>
      <w:rPr>
        <w:rFonts w:ascii="Wingdings" w:hAnsi="Wingdings" w:hint="default"/>
        <w:color w:val="auto"/>
      </w:rPr>
    </w:lvl>
    <w:lvl w:ilvl="1" w:tplc="0C0A0003" w:tentative="1">
      <w:start w:val="1"/>
      <w:numFmt w:val="bullet"/>
      <w:lvlText w:val="o"/>
      <w:lvlJc w:val="left"/>
      <w:pPr>
        <w:ind w:left="1901" w:hanging="360"/>
      </w:pPr>
      <w:rPr>
        <w:rFonts w:ascii="Courier New" w:hAnsi="Courier New" w:cs="Courier New" w:hint="default"/>
      </w:rPr>
    </w:lvl>
    <w:lvl w:ilvl="2" w:tplc="0C0A0005" w:tentative="1">
      <w:start w:val="1"/>
      <w:numFmt w:val="bullet"/>
      <w:lvlText w:val=""/>
      <w:lvlJc w:val="left"/>
      <w:pPr>
        <w:ind w:left="2621" w:hanging="360"/>
      </w:pPr>
      <w:rPr>
        <w:rFonts w:ascii="Wingdings" w:hAnsi="Wingdings" w:hint="default"/>
      </w:rPr>
    </w:lvl>
    <w:lvl w:ilvl="3" w:tplc="0C0A0001" w:tentative="1">
      <w:start w:val="1"/>
      <w:numFmt w:val="bullet"/>
      <w:lvlText w:val=""/>
      <w:lvlJc w:val="left"/>
      <w:pPr>
        <w:ind w:left="3341" w:hanging="360"/>
      </w:pPr>
      <w:rPr>
        <w:rFonts w:ascii="Symbol" w:hAnsi="Symbol" w:hint="default"/>
      </w:rPr>
    </w:lvl>
    <w:lvl w:ilvl="4" w:tplc="0C0A0003" w:tentative="1">
      <w:start w:val="1"/>
      <w:numFmt w:val="bullet"/>
      <w:lvlText w:val="o"/>
      <w:lvlJc w:val="left"/>
      <w:pPr>
        <w:ind w:left="4061" w:hanging="360"/>
      </w:pPr>
      <w:rPr>
        <w:rFonts w:ascii="Courier New" w:hAnsi="Courier New" w:cs="Courier New" w:hint="default"/>
      </w:rPr>
    </w:lvl>
    <w:lvl w:ilvl="5" w:tplc="0C0A0005" w:tentative="1">
      <w:start w:val="1"/>
      <w:numFmt w:val="bullet"/>
      <w:lvlText w:val=""/>
      <w:lvlJc w:val="left"/>
      <w:pPr>
        <w:ind w:left="4781" w:hanging="360"/>
      </w:pPr>
      <w:rPr>
        <w:rFonts w:ascii="Wingdings" w:hAnsi="Wingdings" w:hint="default"/>
      </w:rPr>
    </w:lvl>
    <w:lvl w:ilvl="6" w:tplc="0C0A0001" w:tentative="1">
      <w:start w:val="1"/>
      <w:numFmt w:val="bullet"/>
      <w:lvlText w:val=""/>
      <w:lvlJc w:val="left"/>
      <w:pPr>
        <w:ind w:left="5501" w:hanging="360"/>
      </w:pPr>
      <w:rPr>
        <w:rFonts w:ascii="Symbol" w:hAnsi="Symbol" w:hint="default"/>
      </w:rPr>
    </w:lvl>
    <w:lvl w:ilvl="7" w:tplc="0C0A0003" w:tentative="1">
      <w:start w:val="1"/>
      <w:numFmt w:val="bullet"/>
      <w:lvlText w:val="o"/>
      <w:lvlJc w:val="left"/>
      <w:pPr>
        <w:ind w:left="6221" w:hanging="360"/>
      </w:pPr>
      <w:rPr>
        <w:rFonts w:ascii="Courier New" w:hAnsi="Courier New" w:cs="Courier New" w:hint="default"/>
      </w:rPr>
    </w:lvl>
    <w:lvl w:ilvl="8" w:tplc="0C0A0005" w:tentative="1">
      <w:start w:val="1"/>
      <w:numFmt w:val="bullet"/>
      <w:lvlText w:val=""/>
      <w:lvlJc w:val="left"/>
      <w:pPr>
        <w:ind w:left="6941" w:hanging="360"/>
      </w:pPr>
      <w:rPr>
        <w:rFonts w:ascii="Wingdings" w:hAnsi="Wingdings" w:hint="default"/>
      </w:rPr>
    </w:lvl>
  </w:abstractNum>
  <w:abstractNum w:abstractNumId="30" w15:restartNumberingAfterBreak="0">
    <w:nsid w:val="6F027234"/>
    <w:multiLevelType w:val="hybridMultilevel"/>
    <w:tmpl w:val="307C7B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AD2285"/>
    <w:multiLevelType w:val="hybridMultilevel"/>
    <w:tmpl w:val="0BE23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A95816"/>
    <w:multiLevelType w:val="hybridMultilevel"/>
    <w:tmpl w:val="DBEC8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F22689"/>
    <w:multiLevelType w:val="hybridMultilevel"/>
    <w:tmpl w:val="455E9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E3208F"/>
    <w:multiLevelType w:val="hybridMultilevel"/>
    <w:tmpl w:val="95F2D584"/>
    <w:lvl w:ilvl="0" w:tplc="0C0A0001">
      <w:start w:val="1"/>
      <w:numFmt w:val="bullet"/>
      <w:lvlText w:val=""/>
      <w:lvlJc w:val="left"/>
      <w:pPr>
        <w:ind w:left="852" w:hanging="360"/>
      </w:pPr>
      <w:rPr>
        <w:rFonts w:ascii="Symbol" w:hAnsi="Symbol" w:hint="default"/>
      </w:rPr>
    </w:lvl>
    <w:lvl w:ilvl="1" w:tplc="0C0A0003" w:tentative="1">
      <w:start w:val="1"/>
      <w:numFmt w:val="bullet"/>
      <w:lvlText w:val="o"/>
      <w:lvlJc w:val="left"/>
      <w:pPr>
        <w:ind w:left="1572" w:hanging="360"/>
      </w:pPr>
      <w:rPr>
        <w:rFonts w:ascii="Courier New" w:hAnsi="Courier New" w:cs="Courier New" w:hint="default"/>
      </w:rPr>
    </w:lvl>
    <w:lvl w:ilvl="2" w:tplc="0C0A0005" w:tentative="1">
      <w:start w:val="1"/>
      <w:numFmt w:val="bullet"/>
      <w:lvlText w:val=""/>
      <w:lvlJc w:val="left"/>
      <w:pPr>
        <w:ind w:left="2292" w:hanging="360"/>
      </w:pPr>
      <w:rPr>
        <w:rFonts w:ascii="Wingdings" w:hAnsi="Wingdings" w:hint="default"/>
      </w:rPr>
    </w:lvl>
    <w:lvl w:ilvl="3" w:tplc="0C0A0001" w:tentative="1">
      <w:start w:val="1"/>
      <w:numFmt w:val="bullet"/>
      <w:lvlText w:val=""/>
      <w:lvlJc w:val="left"/>
      <w:pPr>
        <w:ind w:left="3012" w:hanging="360"/>
      </w:pPr>
      <w:rPr>
        <w:rFonts w:ascii="Symbol" w:hAnsi="Symbol" w:hint="default"/>
      </w:rPr>
    </w:lvl>
    <w:lvl w:ilvl="4" w:tplc="0C0A0003" w:tentative="1">
      <w:start w:val="1"/>
      <w:numFmt w:val="bullet"/>
      <w:lvlText w:val="o"/>
      <w:lvlJc w:val="left"/>
      <w:pPr>
        <w:ind w:left="3732" w:hanging="360"/>
      </w:pPr>
      <w:rPr>
        <w:rFonts w:ascii="Courier New" w:hAnsi="Courier New" w:cs="Courier New" w:hint="default"/>
      </w:rPr>
    </w:lvl>
    <w:lvl w:ilvl="5" w:tplc="0C0A0005" w:tentative="1">
      <w:start w:val="1"/>
      <w:numFmt w:val="bullet"/>
      <w:lvlText w:val=""/>
      <w:lvlJc w:val="left"/>
      <w:pPr>
        <w:ind w:left="4452" w:hanging="360"/>
      </w:pPr>
      <w:rPr>
        <w:rFonts w:ascii="Wingdings" w:hAnsi="Wingdings" w:hint="default"/>
      </w:rPr>
    </w:lvl>
    <w:lvl w:ilvl="6" w:tplc="0C0A0001" w:tentative="1">
      <w:start w:val="1"/>
      <w:numFmt w:val="bullet"/>
      <w:lvlText w:val=""/>
      <w:lvlJc w:val="left"/>
      <w:pPr>
        <w:ind w:left="5172" w:hanging="360"/>
      </w:pPr>
      <w:rPr>
        <w:rFonts w:ascii="Symbol" w:hAnsi="Symbol" w:hint="default"/>
      </w:rPr>
    </w:lvl>
    <w:lvl w:ilvl="7" w:tplc="0C0A0003" w:tentative="1">
      <w:start w:val="1"/>
      <w:numFmt w:val="bullet"/>
      <w:lvlText w:val="o"/>
      <w:lvlJc w:val="left"/>
      <w:pPr>
        <w:ind w:left="5892" w:hanging="360"/>
      </w:pPr>
      <w:rPr>
        <w:rFonts w:ascii="Courier New" w:hAnsi="Courier New" w:cs="Courier New" w:hint="default"/>
      </w:rPr>
    </w:lvl>
    <w:lvl w:ilvl="8" w:tplc="0C0A0005" w:tentative="1">
      <w:start w:val="1"/>
      <w:numFmt w:val="bullet"/>
      <w:lvlText w:val=""/>
      <w:lvlJc w:val="left"/>
      <w:pPr>
        <w:ind w:left="6612" w:hanging="360"/>
      </w:pPr>
      <w:rPr>
        <w:rFonts w:ascii="Wingdings" w:hAnsi="Wingdings" w:hint="default"/>
      </w:rPr>
    </w:lvl>
  </w:abstractNum>
  <w:num w:numId="1" w16cid:durableId="791939208">
    <w:abstractNumId w:val="26"/>
  </w:num>
  <w:num w:numId="2" w16cid:durableId="13918596">
    <w:abstractNumId w:val="12"/>
  </w:num>
  <w:num w:numId="3" w16cid:durableId="412892808">
    <w:abstractNumId w:val="2"/>
  </w:num>
  <w:num w:numId="4" w16cid:durableId="383412641">
    <w:abstractNumId w:val="23"/>
  </w:num>
  <w:num w:numId="5" w16cid:durableId="1546411809">
    <w:abstractNumId w:val="8"/>
  </w:num>
  <w:num w:numId="6" w16cid:durableId="1497694391">
    <w:abstractNumId w:val="19"/>
  </w:num>
  <w:num w:numId="7" w16cid:durableId="390738052">
    <w:abstractNumId w:val="20"/>
  </w:num>
  <w:num w:numId="8" w16cid:durableId="626742089">
    <w:abstractNumId w:val="29"/>
  </w:num>
  <w:num w:numId="9" w16cid:durableId="2008287582">
    <w:abstractNumId w:val="30"/>
  </w:num>
  <w:num w:numId="10" w16cid:durableId="515655622">
    <w:abstractNumId w:val="18"/>
  </w:num>
  <w:num w:numId="11" w16cid:durableId="987200472">
    <w:abstractNumId w:val="10"/>
  </w:num>
  <w:num w:numId="12" w16cid:durableId="134569350">
    <w:abstractNumId w:val="3"/>
  </w:num>
  <w:num w:numId="13" w16cid:durableId="41180141">
    <w:abstractNumId w:val="22"/>
  </w:num>
  <w:num w:numId="14" w16cid:durableId="1036735202">
    <w:abstractNumId w:val="13"/>
  </w:num>
  <w:num w:numId="15" w16cid:durableId="1299607936">
    <w:abstractNumId w:val="21"/>
  </w:num>
  <w:num w:numId="16" w16cid:durableId="35007613">
    <w:abstractNumId w:val="14"/>
  </w:num>
  <w:num w:numId="17" w16cid:durableId="941689044">
    <w:abstractNumId w:val="11"/>
  </w:num>
  <w:num w:numId="18" w16cid:durableId="1101220918">
    <w:abstractNumId w:val="15"/>
  </w:num>
  <w:num w:numId="19" w16cid:durableId="2101219244">
    <w:abstractNumId w:val="1"/>
  </w:num>
  <w:num w:numId="20" w16cid:durableId="127482318">
    <w:abstractNumId w:val="25"/>
  </w:num>
  <w:num w:numId="21" w16cid:durableId="40444877">
    <w:abstractNumId w:val="32"/>
  </w:num>
  <w:num w:numId="22" w16cid:durableId="1685016825">
    <w:abstractNumId w:val="28"/>
  </w:num>
  <w:num w:numId="23" w16cid:durableId="1682077660">
    <w:abstractNumId w:val="9"/>
  </w:num>
  <w:num w:numId="24" w16cid:durableId="1780637126">
    <w:abstractNumId w:val="17"/>
  </w:num>
  <w:num w:numId="25" w16cid:durableId="1692757642">
    <w:abstractNumId w:val="16"/>
  </w:num>
  <w:num w:numId="26" w16cid:durableId="511647276">
    <w:abstractNumId w:val="5"/>
  </w:num>
  <w:num w:numId="27" w16cid:durableId="508831485">
    <w:abstractNumId w:val="0"/>
  </w:num>
  <w:num w:numId="28" w16cid:durableId="825904642">
    <w:abstractNumId w:val="31"/>
  </w:num>
  <w:num w:numId="29" w16cid:durableId="32270846">
    <w:abstractNumId w:val="7"/>
  </w:num>
  <w:num w:numId="30" w16cid:durableId="2072579066">
    <w:abstractNumId w:val="6"/>
  </w:num>
  <w:num w:numId="31" w16cid:durableId="1142574007">
    <w:abstractNumId w:val="34"/>
  </w:num>
  <w:num w:numId="32" w16cid:durableId="1215973202">
    <w:abstractNumId w:val="27"/>
  </w:num>
  <w:num w:numId="33" w16cid:durableId="216942495">
    <w:abstractNumId w:val="33"/>
  </w:num>
  <w:num w:numId="34" w16cid:durableId="1545022536">
    <w:abstractNumId w:val="4"/>
  </w:num>
  <w:num w:numId="35" w16cid:durableId="6549215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4C"/>
    <w:rsid w:val="00037EBC"/>
    <w:rsid w:val="0004126B"/>
    <w:rsid w:val="00045CF8"/>
    <w:rsid w:val="0005113E"/>
    <w:rsid w:val="000542FA"/>
    <w:rsid w:val="000562B4"/>
    <w:rsid w:val="000607E2"/>
    <w:rsid w:val="000632EC"/>
    <w:rsid w:val="00064A9E"/>
    <w:rsid w:val="000657BF"/>
    <w:rsid w:val="00075306"/>
    <w:rsid w:val="000921B8"/>
    <w:rsid w:val="000A47F3"/>
    <w:rsid w:val="000B05D4"/>
    <w:rsid w:val="000C396C"/>
    <w:rsid w:val="000C48B1"/>
    <w:rsid w:val="000D329C"/>
    <w:rsid w:val="000E0E3A"/>
    <w:rsid w:val="000E28CF"/>
    <w:rsid w:val="000F7880"/>
    <w:rsid w:val="00111105"/>
    <w:rsid w:val="00153507"/>
    <w:rsid w:val="00155C1C"/>
    <w:rsid w:val="001612F1"/>
    <w:rsid w:val="00163E0B"/>
    <w:rsid w:val="0018498C"/>
    <w:rsid w:val="00191362"/>
    <w:rsid w:val="00191FAC"/>
    <w:rsid w:val="001B39D6"/>
    <w:rsid w:val="001B552D"/>
    <w:rsid w:val="001C45E3"/>
    <w:rsid w:val="001C4D0B"/>
    <w:rsid w:val="001D16E3"/>
    <w:rsid w:val="001D5D95"/>
    <w:rsid w:val="001E0F3C"/>
    <w:rsid w:val="001E4D9D"/>
    <w:rsid w:val="001E69C3"/>
    <w:rsid w:val="00207402"/>
    <w:rsid w:val="00216FFA"/>
    <w:rsid w:val="00232A8B"/>
    <w:rsid w:val="00234025"/>
    <w:rsid w:val="00237176"/>
    <w:rsid w:val="002372EA"/>
    <w:rsid w:val="00243943"/>
    <w:rsid w:val="00245F1D"/>
    <w:rsid w:val="00256D5C"/>
    <w:rsid w:val="0025717D"/>
    <w:rsid w:val="00265143"/>
    <w:rsid w:val="0027057A"/>
    <w:rsid w:val="00273231"/>
    <w:rsid w:val="002770B3"/>
    <w:rsid w:val="00283ABC"/>
    <w:rsid w:val="00292496"/>
    <w:rsid w:val="002937E8"/>
    <w:rsid w:val="002964D6"/>
    <w:rsid w:val="002A046E"/>
    <w:rsid w:val="002A3AC4"/>
    <w:rsid w:val="002B2A4D"/>
    <w:rsid w:val="002C4707"/>
    <w:rsid w:val="002C7099"/>
    <w:rsid w:val="002D1890"/>
    <w:rsid w:val="002D488D"/>
    <w:rsid w:val="002E445E"/>
    <w:rsid w:val="002E7E54"/>
    <w:rsid w:val="002F7CBC"/>
    <w:rsid w:val="00307079"/>
    <w:rsid w:val="00331C0E"/>
    <w:rsid w:val="00333752"/>
    <w:rsid w:val="00333D07"/>
    <w:rsid w:val="00342ABB"/>
    <w:rsid w:val="00343231"/>
    <w:rsid w:val="00343EFD"/>
    <w:rsid w:val="00345CF4"/>
    <w:rsid w:val="00364F25"/>
    <w:rsid w:val="00365553"/>
    <w:rsid w:val="00377C60"/>
    <w:rsid w:val="003910FC"/>
    <w:rsid w:val="003A5A20"/>
    <w:rsid w:val="003B0837"/>
    <w:rsid w:val="003C0C8C"/>
    <w:rsid w:val="003C545C"/>
    <w:rsid w:val="003D2474"/>
    <w:rsid w:val="003D355A"/>
    <w:rsid w:val="003E41E2"/>
    <w:rsid w:val="003F0BDD"/>
    <w:rsid w:val="003F493E"/>
    <w:rsid w:val="003F6316"/>
    <w:rsid w:val="004027A9"/>
    <w:rsid w:val="00405292"/>
    <w:rsid w:val="00410770"/>
    <w:rsid w:val="0041493A"/>
    <w:rsid w:val="00414C9F"/>
    <w:rsid w:val="00415D16"/>
    <w:rsid w:val="00431B0E"/>
    <w:rsid w:val="00434F74"/>
    <w:rsid w:val="00441F72"/>
    <w:rsid w:val="0044473A"/>
    <w:rsid w:val="004461E3"/>
    <w:rsid w:val="00452279"/>
    <w:rsid w:val="00453E42"/>
    <w:rsid w:val="00471839"/>
    <w:rsid w:val="0048115C"/>
    <w:rsid w:val="004845E1"/>
    <w:rsid w:val="0049307B"/>
    <w:rsid w:val="004A2B76"/>
    <w:rsid w:val="004B4B29"/>
    <w:rsid w:val="004C015E"/>
    <w:rsid w:val="004C1F9D"/>
    <w:rsid w:val="004E1052"/>
    <w:rsid w:val="004F6348"/>
    <w:rsid w:val="005016C9"/>
    <w:rsid w:val="00507A94"/>
    <w:rsid w:val="00507CFF"/>
    <w:rsid w:val="00511905"/>
    <w:rsid w:val="00532AEB"/>
    <w:rsid w:val="00535C2E"/>
    <w:rsid w:val="00543D67"/>
    <w:rsid w:val="005457C9"/>
    <w:rsid w:val="00554E29"/>
    <w:rsid w:val="00562BBA"/>
    <w:rsid w:val="00563824"/>
    <w:rsid w:val="005707D1"/>
    <w:rsid w:val="00573016"/>
    <w:rsid w:val="005765F8"/>
    <w:rsid w:val="00583711"/>
    <w:rsid w:val="00584F6E"/>
    <w:rsid w:val="0058519F"/>
    <w:rsid w:val="005861E2"/>
    <w:rsid w:val="00586686"/>
    <w:rsid w:val="00595137"/>
    <w:rsid w:val="005C6A44"/>
    <w:rsid w:val="005D00F5"/>
    <w:rsid w:val="005D08B1"/>
    <w:rsid w:val="005D3047"/>
    <w:rsid w:val="005D3DFA"/>
    <w:rsid w:val="005E1414"/>
    <w:rsid w:val="00602693"/>
    <w:rsid w:val="0060473E"/>
    <w:rsid w:val="006127F5"/>
    <w:rsid w:val="006139FB"/>
    <w:rsid w:val="006254A6"/>
    <w:rsid w:val="00625F8A"/>
    <w:rsid w:val="0063584C"/>
    <w:rsid w:val="00635EAA"/>
    <w:rsid w:val="00642322"/>
    <w:rsid w:val="0064686A"/>
    <w:rsid w:val="00652884"/>
    <w:rsid w:val="00653A08"/>
    <w:rsid w:val="0065498E"/>
    <w:rsid w:val="00655D3C"/>
    <w:rsid w:val="00666430"/>
    <w:rsid w:val="00671A4D"/>
    <w:rsid w:val="006762A6"/>
    <w:rsid w:val="006776F2"/>
    <w:rsid w:val="00682CC8"/>
    <w:rsid w:val="00684470"/>
    <w:rsid w:val="006A33A4"/>
    <w:rsid w:val="006C1BF7"/>
    <w:rsid w:val="006C46AD"/>
    <w:rsid w:val="006C5275"/>
    <w:rsid w:val="006C7892"/>
    <w:rsid w:val="006D129C"/>
    <w:rsid w:val="006D74C8"/>
    <w:rsid w:val="006E08CA"/>
    <w:rsid w:val="006E7045"/>
    <w:rsid w:val="006F7E2D"/>
    <w:rsid w:val="0070003B"/>
    <w:rsid w:val="007071C0"/>
    <w:rsid w:val="00712D52"/>
    <w:rsid w:val="00721AB0"/>
    <w:rsid w:val="00723EB8"/>
    <w:rsid w:val="00725FCA"/>
    <w:rsid w:val="00754EAB"/>
    <w:rsid w:val="007629E8"/>
    <w:rsid w:val="007641CA"/>
    <w:rsid w:val="00770EEB"/>
    <w:rsid w:val="007725BC"/>
    <w:rsid w:val="00782399"/>
    <w:rsid w:val="0079019F"/>
    <w:rsid w:val="0079445A"/>
    <w:rsid w:val="00795A96"/>
    <w:rsid w:val="007A5A90"/>
    <w:rsid w:val="007A6E3E"/>
    <w:rsid w:val="007B30D8"/>
    <w:rsid w:val="007C4BAF"/>
    <w:rsid w:val="007E76C8"/>
    <w:rsid w:val="007F236B"/>
    <w:rsid w:val="007F57B8"/>
    <w:rsid w:val="007F589E"/>
    <w:rsid w:val="00800912"/>
    <w:rsid w:val="00803C8B"/>
    <w:rsid w:val="00807282"/>
    <w:rsid w:val="00816B41"/>
    <w:rsid w:val="00832943"/>
    <w:rsid w:val="008454ED"/>
    <w:rsid w:val="00846651"/>
    <w:rsid w:val="008476CC"/>
    <w:rsid w:val="00850965"/>
    <w:rsid w:val="00851AAB"/>
    <w:rsid w:val="00856C27"/>
    <w:rsid w:val="00865DB6"/>
    <w:rsid w:val="00866689"/>
    <w:rsid w:val="00871F32"/>
    <w:rsid w:val="00874D0A"/>
    <w:rsid w:val="008813AB"/>
    <w:rsid w:val="00881F3A"/>
    <w:rsid w:val="008852C0"/>
    <w:rsid w:val="00886106"/>
    <w:rsid w:val="008A6720"/>
    <w:rsid w:val="008B1447"/>
    <w:rsid w:val="008C569D"/>
    <w:rsid w:val="008E1A63"/>
    <w:rsid w:val="008F789E"/>
    <w:rsid w:val="00920C32"/>
    <w:rsid w:val="00921A8E"/>
    <w:rsid w:val="009261D6"/>
    <w:rsid w:val="00933AC0"/>
    <w:rsid w:val="009403E5"/>
    <w:rsid w:val="009423C5"/>
    <w:rsid w:val="009428D6"/>
    <w:rsid w:val="00947FB5"/>
    <w:rsid w:val="00952BA4"/>
    <w:rsid w:val="00956250"/>
    <w:rsid w:val="0095638A"/>
    <w:rsid w:val="00966FC8"/>
    <w:rsid w:val="00967E70"/>
    <w:rsid w:val="009772FE"/>
    <w:rsid w:val="00980190"/>
    <w:rsid w:val="0098137B"/>
    <w:rsid w:val="009843CB"/>
    <w:rsid w:val="00985D1E"/>
    <w:rsid w:val="009867B9"/>
    <w:rsid w:val="009915E2"/>
    <w:rsid w:val="00996AED"/>
    <w:rsid w:val="009977C3"/>
    <w:rsid w:val="009A0811"/>
    <w:rsid w:val="009A1D1C"/>
    <w:rsid w:val="009A41C9"/>
    <w:rsid w:val="009A72F2"/>
    <w:rsid w:val="009C04F5"/>
    <w:rsid w:val="009D1548"/>
    <w:rsid w:val="009E09F5"/>
    <w:rsid w:val="009E72F2"/>
    <w:rsid w:val="009E7F43"/>
    <w:rsid w:val="009F37A6"/>
    <w:rsid w:val="00A02E45"/>
    <w:rsid w:val="00A157D1"/>
    <w:rsid w:val="00A240BD"/>
    <w:rsid w:val="00A249A9"/>
    <w:rsid w:val="00A27D3A"/>
    <w:rsid w:val="00A30051"/>
    <w:rsid w:val="00A31137"/>
    <w:rsid w:val="00A34517"/>
    <w:rsid w:val="00A40A23"/>
    <w:rsid w:val="00A42F72"/>
    <w:rsid w:val="00A477E7"/>
    <w:rsid w:val="00A72DC7"/>
    <w:rsid w:val="00A74876"/>
    <w:rsid w:val="00A81D82"/>
    <w:rsid w:val="00A83E18"/>
    <w:rsid w:val="00A963CC"/>
    <w:rsid w:val="00AA2651"/>
    <w:rsid w:val="00AB5093"/>
    <w:rsid w:val="00AB685B"/>
    <w:rsid w:val="00AD3CAF"/>
    <w:rsid w:val="00AE25C7"/>
    <w:rsid w:val="00B33A41"/>
    <w:rsid w:val="00B3416F"/>
    <w:rsid w:val="00B40599"/>
    <w:rsid w:val="00B62E7B"/>
    <w:rsid w:val="00B667D4"/>
    <w:rsid w:val="00B671C8"/>
    <w:rsid w:val="00B72B4F"/>
    <w:rsid w:val="00B74B3B"/>
    <w:rsid w:val="00B802C7"/>
    <w:rsid w:val="00B81185"/>
    <w:rsid w:val="00B8262C"/>
    <w:rsid w:val="00B90EA5"/>
    <w:rsid w:val="00B94D0D"/>
    <w:rsid w:val="00B97B86"/>
    <w:rsid w:val="00BA01B3"/>
    <w:rsid w:val="00BA59C6"/>
    <w:rsid w:val="00BC1664"/>
    <w:rsid w:val="00BC52F5"/>
    <w:rsid w:val="00BD0430"/>
    <w:rsid w:val="00BE03B7"/>
    <w:rsid w:val="00BE1E79"/>
    <w:rsid w:val="00BE601C"/>
    <w:rsid w:val="00BE6D73"/>
    <w:rsid w:val="00BE700E"/>
    <w:rsid w:val="00BF3571"/>
    <w:rsid w:val="00BF5270"/>
    <w:rsid w:val="00C01EB3"/>
    <w:rsid w:val="00C127AB"/>
    <w:rsid w:val="00C12A0D"/>
    <w:rsid w:val="00C149C1"/>
    <w:rsid w:val="00C1597C"/>
    <w:rsid w:val="00C415BA"/>
    <w:rsid w:val="00C4166D"/>
    <w:rsid w:val="00C42E8B"/>
    <w:rsid w:val="00C4694B"/>
    <w:rsid w:val="00C51DEB"/>
    <w:rsid w:val="00C74765"/>
    <w:rsid w:val="00C752DC"/>
    <w:rsid w:val="00C808CF"/>
    <w:rsid w:val="00C90A31"/>
    <w:rsid w:val="00C90BE0"/>
    <w:rsid w:val="00C93DFE"/>
    <w:rsid w:val="00C949AC"/>
    <w:rsid w:val="00C97061"/>
    <w:rsid w:val="00CA1D0B"/>
    <w:rsid w:val="00CB1FAE"/>
    <w:rsid w:val="00CB6A71"/>
    <w:rsid w:val="00CC5C38"/>
    <w:rsid w:val="00CE0567"/>
    <w:rsid w:val="00D06229"/>
    <w:rsid w:val="00D06D14"/>
    <w:rsid w:val="00D12810"/>
    <w:rsid w:val="00D13852"/>
    <w:rsid w:val="00D2227B"/>
    <w:rsid w:val="00D275CF"/>
    <w:rsid w:val="00D35221"/>
    <w:rsid w:val="00D37F08"/>
    <w:rsid w:val="00D54BE0"/>
    <w:rsid w:val="00D57649"/>
    <w:rsid w:val="00D61276"/>
    <w:rsid w:val="00D650E3"/>
    <w:rsid w:val="00D770DE"/>
    <w:rsid w:val="00DA14D1"/>
    <w:rsid w:val="00DB189E"/>
    <w:rsid w:val="00DB2D04"/>
    <w:rsid w:val="00DB31C3"/>
    <w:rsid w:val="00DB5350"/>
    <w:rsid w:val="00DC332E"/>
    <w:rsid w:val="00DC376A"/>
    <w:rsid w:val="00DD1514"/>
    <w:rsid w:val="00DF60BF"/>
    <w:rsid w:val="00E024B0"/>
    <w:rsid w:val="00E072D2"/>
    <w:rsid w:val="00E12DA3"/>
    <w:rsid w:val="00E15E2B"/>
    <w:rsid w:val="00E16813"/>
    <w:rsid w:val="00E21CF4"/>
    <w:rsid w:val="00E2655C"/>
    <w:rsid w:val="00E27343"/>
    <w:rsid w:val="00E3362B"/>
    <w:rsid w:val="00E44466"/>
    <w:rsid w:val="00E615DF"/>
    <w:rsid w:val="00E6251D"/>
    <w:rsid w:val="00E73D13"/>
    <w:rsid w:val="00E820C4"/>
    <w:rsid w:val="00E961C0"/>
    <w:rsid w:val="00E97878"/>
    <w:rsid w:val="00EA3EE8"/>
    <w:rsid w:val="00EA5C84"/>
    <w:rsid w:val="00EA7DE5"/>
    <w:rsid w:val="00EB4B25"/>
    <w:rsid w:val="00EB4FDB"/>
    <w:rsid w:val="00EC0274"/>
    <w:rsid w:val="00EC088F"/>
    <w:rsid w:val="00EC1EA9"/>
    <w:rsid w:val="00EC2905"/>
    <w:rsid w:val="00EC7E4A"/>
    <w:rsid w:val="00ED0923"/>
    <w:rsid w:val="00ED7211"/>
    <w:rsid w:val="00EE487E"/>
    <w:rsid w:val="00EF4B3C"/>
    <w:rsid w:val="00EF4EF4"/>
    <w:rsid w:val="00F00432"/>
    <w:rsid w:val="00F040C5"/>
    <w:rsid w:val="00F0448E"/>
    <w:rsid w:val="00F21563"/>
    <w:rsid w:val="00F30565"/>
    <w:rsid w:val="00F30689"/>
    <w:rsid w:val="00F30B5C"/>
    <w:rsid w:val="00F32E08"/>
    <w:rsid w:val="00F4263E"/>
    <w:rsid w:val="00F42A99"/>
    <w:rsid w:val="00F45340"/>
    <w:rsid w:val="00F471F3"/>
    <w:rsid w:val="00F47357"/>
    <w:rsid w:val="00F546A2"/>
    <w:rsid w:val="00F5529A"/>
    <w:rsid w:val="00F6403E"/>
    <w:rsid w:val="00F721AA"/>
    <w:rsid w:val="00F72635"/>
    <w:rsid w:val="00F72DCD"/>
    <w:rsid w:val="00F8204B"/>
    <w:rsid w:val="00F90803"/>
    <w:rsid w:val="00F90A08"/>
    <w:rsid w:val="00F93C39"/>
    <w:rsid w:val="00FA4923"/>
    <w:rsid w:val="00FB1DA5"/>
    <w:rsid w:val="00FC14D2"/>
    <w:rsid w:val="00FD308B"/>
    <w:rsid w:val="00FD698A"/>
    <w:rsid w:val="00FE22EE"/>
    <w:rsid w:val="00FE4110"/>
    <w:rsid w:val="00FE4671"/>
    <w:rsid w:val="00FF2A1F"/>
    <w:rsid w:val="00FF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4CA1"/>
  <w15:chartTrackingRefBased/>
  <w15:docId w15:val="{28C6727E-AF3B-42CF-8AFD-3A2CF95B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4C"/>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3584C"/>
    <w:pPr>
      <w:tabs>
        <w:tab w:val="center" w:pos="4252"/>
        <w:tab w:val="right" w:pos="8504"/>
      </w:tabs>
      <w:spacing w:after="0" w:line="240" w:lineRule="auto"/>
      <w:jc w:val="both"/>
    </w:pPr>
    <w:rPr>
      <w:rFonts w:ascii="Trebuchet MS" w:eastAsia="Times New Roman" w:hAnsi="Trebuchet MS" w:cs="Times New Roman"/>
      <w:color w:val="000000"/>
      <w:sz w:val="18"/>
      <w:szCs w:val="20"/>
    </w:rPr>
  </w:style>
  <w:style w:type="character" w:customStyle="1" w:styleId="PiedepginaCar">
    <w:name w:val="Pie de página Car"/>
    <w:basedOn w:val="Fuentedeprrafopredeter"/>
    <w:link w:val="Piedepgina"/>
    <w:uiPriority w:val="99"/>
    <w:rsid w:val="0063584C"/>
    <w:rPr>
      <w:rFonts w:ascii="Trebuchet MS" w:eastAsia="Times New Roman" w:hAnsi="Trebuchet MS" w:cs="Times New Roman"/>
      <w:color w:val="000000"/>
      <w:kern w:val="0"/>
      <w:sz w:val="18"/>
      <w:szCs w:val="20"/>
    </w:rPr>
  </w:style>
  <w:style w:type="paragraph" w:styleId="Prrafodelista">
    <w:name w:val="List Paragraph"/>
    <w:basedOn w:val="Normal"/>
    <w:uiPriority w:val="34"/>
    <w:qFormat/>
    <w:rsid w:val="0063584C"/>
    <w:pPr>
      <w:ind w:left="720"/>
      <w:contextualSpacing/>
    </w:pPr>
  </w:style>
  <w:style w:type="character" w:styleId="Refdecomentario">
    <w:name w:val="annotation reference"/>
    <w:basedOn w:val="Fuentedeprrafopredeter"/>
    <w:uiPriority w:val="99"/>
    <w:semiHidden/>
    <w:unhideWhenUsed/>
    <w:rsid w:val="0063584C"/>
    <w:rPr>
      <w:sz w:val="16"/>
      <w:szCs w:val="16"/>
    </w:rPr>
  </w:style>
  <w:style w:type="paragraph" w:styleId="Textocomentario">
    <w:name w:val="annotation text"/>
    <w:basedOn w:val="Normal"/>
    <w:link w:val="TextocomentarioCar"/>
    <w:uiPriority w:val="99"/>
    <w:semiHidden/>
    <w:unhideWhenUsed/>
    <w:rsid w:val="006358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584C"/>
    <w:rPr>
      <w:kern w:val="0"/>
      <w:sz w:val="20"/>
      <w:szCs w:val="20"/>
    </w:rPr>
  </w:style>
  <w:style w:type="paragraph" w:styleId="Encabezado">
    <w:name w:val="header"/>
    <w:basedOn w:val="Normal"/>
    <w:link w:val="EncabezadoCar"/>
    <w:uiPriority w:val="99"/>
    <w:unhideWhenUsed/>
    <w:rsid w:val="007823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2399"/>
    <w:rPr>
      <w:kern w:val="0"/>
    </w:rPr>
  </w:style>
  <w:style w:type="paragraph" w:styleId="Revisin">
    <w:name w:val="Revision"/>
    <w:hidden/>
    <w:uiPriority w:val="99"/>
    <w:semiHidden/>
    <w:rsid w:val="006C7892"/>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5362">
      <w:bodyDiv w:val="1"/>
      <w:marLeft w:val="0"/>
      <w:marRight w:val="0"/>
      <w:marTop w:val="0"/>
      <w:marBottom w:val="0"/>
      <w:divBdr>
        <w:top w:val="none" w:sz="0" w:space="0" w:color="auto"/>
        <w:left w:val="none" w:sz="0" w:space="0" w:color="auto"/>
        <w:bottom w:val="none" w:sz="0" w:space="0" w:color="auto"/>
        <w:right w:val="none" w:sz="0" w:space="0" w:color="auto"/>
      </w:divBdr>
    </w:div>
    <w:div w:id="221403607">
      <w:bodyDiv w:val="1"/>
      <w:marLeft w:val="0"/>
      <w:marRight w:val="0"/>
      <w:marTop w:val="0"/>
      <w:marBottom w:val="0"/>
      <w:divBdr>
        <w:top w:val="none" w:sz="0" w:space="0" w:color="auto"/>
        <w:left w:val="none" w:sz="0" w:space="0" w:color="auto"/>
        <w:bottom w:val="none" w:sz="0" w:space="0" w:color="auto"/>
        <w:right w:val="none" w:sz="0" w:space="0" w:color="auto"/>
      </w:divBdr>
    </w:div>
    <w:div w:id="637302269">
      <w:bodyDiv w:val="1"/>
      <w:marLeft w:val="0"/>
      <w:marRight w:val="0"/>
      <w:marTop w:val="0"/>
      <w:marBottom w:val="0"/>
      <w:divBdr>
        <w:top w:val="none" w:sz="0" w:space="0" w:color="auto"/>
        <w:left w:val="none" w:sz="0" w:space="0" w:color="auto"/>
        <w:bottom w:val="none" w:sz="0" w:space="0" w:color="auto"/>
        <w:right w:val="none" w:sz="0" w:space="0" w:color="auto"/>
      </w:divBdr>
    </w:div>
    <w:div w:id="1879466407">
      <w:bodyDiv w:val="1"/>
      <w:marLeft w:val="0"/>
      <w:marRight w:val="0"/>
      <w:marTop w:val="0"/>
      <w:marBottom w:val="0"/>
      <w:divBdr>
        <w:top w:val="none" w:sz="0" w:space="0" w:color="auto"/>
        <w:left w:val="none" w:sz="0" w:space="0" w:color="auto"/>
        <w:bottom w:val="none" w:sz="0" w:space="0" w:color="auto"/>
        <w:right w:val="none" w:sz="0" w:space="0" w:color="auto"/>
      </w:divBdr>
    </w:div>
    <w:div w:id="19785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D10428F5059A4EB87956B0FB4E1196" ma:contentTypeVersion="4" ma:contentTypeDescription="Crear nuevo documento." ma:contentTypeScope="" ma:versionID="9e42726227ec72ce7c49b39baacd1219">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a93a9277-81bd-421b-bdad-bf8d47ee7b1b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E3D2A4-E724-4123-A57F-1B3BE39510A4}"/>
</file>

<file path=customXml/itemProps2.xml><?xml version="1.0" encoding="utf-8"?>
<ds:datastoreItem xmlns:ds="http://schemas.openxmlformats.org/officeDocument/2006/customXml" ds:itemID="{2358E76F-612A-4DA1-9501-2057A12E964C}"/>
</file>

<file path=customXml/itemProps3.xml><?xml version="1.0" encoding="utf-8"?>
<ds:datastoreItem xmlns:ds="http://schemas.openxmlformats.org/officeDocument/2006/customXml" ds:itemID="{B3713737-7163-4A68-BE7B-20CD09B7B95F}"/>
</file>

<file path=docProps/app.xml><?xml version="1.0" encoding="utf-8"?>
<Properties xmlns="http://schemas.openxmlformats.org/officeDocument/2006/extended-properties" xmlns:vt="http://schemas.openxmlformats.org/officeDocument/2006/docPropsVTypes">
  <Template>Normal.dotm</Template>
  <TotalTime>1</TotalTime>
  <Pages>13</Pages>
  <Words>2443</Words>
  <Characters>13438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Orden Ministerial Interinos.docx V2-0</dc:title>
  <dc:subject/>
  <dc:creator>BUENO SANTANA, ELENA</dc:creator>
  <cp:keywords/>
  <dc:description/>
  <cp:lastModifiedBy>PALACIOS GONZALEZ, MARIA ROSARIO</cp:lastModifiedBy>
  <cp:revision>2</cp:revision>
  <dcterms:created xsi:type="dcterms:W3CDTF">2025-07-03T09:02:00Z</dcterms:created>
  <dcterms:modified xsi:type="dcterms:W3CDTF">2025-07-03T09:02:00Z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0x01010068D10428F5059A4EB87956B0FB4E1196</vt:lpwstr>
  </property>
</Properties>
</file>