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25" w:rsidRPr="004E2EE9" w:rsidRDefault="00916D25">
      <w:pPr>
        <w:pStyle w:val="Ttulo1"/>
        <w:jc w:val="right"/>
        <w:rPr>
          <w:rFonts w:ascii="Arial" w:hAnsi="Arial" w:cs="Arial"/>
          <w:b w:val="0"/>
          <w:bCs/>
          <w:sz w:val="16"/>
          <w:szCs w:val="16"/>
        </w:rPr>
      </w:pPr>
      <w:r w:rsidRPr="004E2EE9">
        <w:rPr>
          <w:rFonts w:ascii="Arial" w:hAnsi="Arial" w:cs="Arial"/>
          <w:b w:val="0"/>
          <w:bCs/>
          <w:sz w:val="16"/>
          <w:szCs w:val="16"/>
        </w:rPr>
        <w:t>CUARTILLAS PARA EL BOLETIN OFICIAL - PAG.1</w:t>
      </w:r>
    </w:p>
    <w:p w:rsidR="00916D25" w:rsidRPr="004E2EE9" w:rsidRDefault="00916D25">
      <w:pPr>
        <w:ind w:left="283"/>
        <w:jc w:val="center"/>
        <w:rPr>
          <w:rFonts w:cs="Arial"/>
          <w:szCs w:val="22"/>
          <w:u w:val="single"/>
          <w:lang w:val="es-ES_tradnl"/>
        </w:rPr>
      </w:pPr>
    </w:p>
    <w:p w:rsidR="00916D25" w:rsidRPr="004E2EE9" w:rsidRDefault="00916D25">
      <w:pPr>
        <w:pStyle w:val="Ttulo4"/>
        <w:rPr>
          <w:rFonts w:ascii="Arial" w:hAnsi="Arial" w:cs="Arial"/>
          <w:sz w:val="22"/>
          <w:szCs w:val="22"/>
        </w:rPr>
      </w:pPr>
      <w:r w:rsidRPr="004E2EE9">
        <w:rPr>
          <w:rFonts w:ascii="Arial" w:hAnsi="Arial" w:cs="Arial"/>
          <w:sz w:val="22"/>
          <w:szCs w:val="22"/>
        </w:rPr>
        <w:t>MINISTERIO DE JUSTICIA</w:t>
      </w:r>
    </w:p>
    <w:p w:rsidR="00916D25" w:rsidRPr="004E2EE9" w:rsidRDefault="00916D25">
      <w:pPr>
        <w:ind w:left="283"/>
        <w:jc w:val="center"/>
        <w:rPr>
          <w:rFonts w:cs="Arial"/>
          <w:szCs w:val="22"/>
          <w:u w:val="single"/>
          <w:lang w:val="es-ES_tradnl"/>
        </w:rPr>
      </w:pPr>
    </w:p>
    <w:p w:rsidR="00916D25" w:rsidRPr="004E2EE9" w:rsidRDefault="00916D25">
      <w:pPr>
        <w:ind w:left="283"/>
        <w:rPr>
          <w:rFonts w:cs="Arial"/>
          <w:szCs w:val="22"/>
          <w:lang w:val="es-ES_tradnl"/>
        </w:rPr>
      </w:pPr>
      <w:r w:rsidRPr="004E2EE9">
        <w:rPr>
          <w:rFonts w:cs="Arial"/>
          <w:b/>
          <w:szCs w:val="22"/>
          <w:lang w:val="es-ES_tradnl"/>
        </w:rPr>
        <w:t>Organismo:</w:t>
      </w:r>
    </w:p>
    <w:p w:rsidR="00916D25" w:rsidRPr="004E2EE9" w:rsidRDefault="00916D25">
      <w:pPr>
        <w:ind w:left="283"/>
        <w:rPr>
          <w:rFonts w:cs="Arial"/>
          <w:szCs w:val="22"/>
          <w:u w:val="single"/>
          <w:lang w:val="es-ES_tradnl"/>
        </w:rPr>
      </w:pPr>
    </w:p>
    <w:tbl>
      <w:tblPr>
        <w:tblW w:w="0" w:type="auto"/>
        <w:tblInd w:w="403" w:type="dxa"/>
        <w:tblLayout w:type="fixed"/>
        <w:tblCellMar>
          <w:left w:w="120" w:type="dxa"/>
          <w:right w:w="120" w:type="dxa"/>
        </w:tblCellMar>
        <w:tblLook w:val="0000" w:firstRow="0" w:lastRow="0" w:firstColumn="0" w:lastColumn="0" w:noHBand="0" w:noVBand="0"/>
      </w:tblPr>
      <w:tblGrid>
        <w:gridCol w:w="6609"/>
        <w:gridCol w:w="3141"/>
      </w:tblGrid>
      <w:tr w:rsidR="00916D25" w:rsidRPr="004E2EE9">
        <w:trPr>
          <w:cantSplit/>
          <w:trHeight w:hRule="exact" w:val="680"/>
        </w:trPr>
        <w:tc>
          <w:tcPr>
            <w:tcW w:w="6609" w:type="dxa"/>
            <w:vMerge w:val="restart"/>
            <w:tcBorders>
              <w:top w:val="single" w:sz="6" w:space="0" w:color="000000"/>
              <w:left w:val="single" w:sz="6" w:space="0" w:color="000000"/>
              <w:right w:val="single" w:sz="7" w:space="0" w:color="000000"/>
            </w:tcBorders>
          </w:tcPr>
          <w:p w:rsidR="00916D25" w:rsidRPr="004E2EE9" w:rsidRDefault="00916D25">
            <w:pPr>
              <w:spacing w:line="120" w:lineRule="exact"/>
              <w:rPr>
                <w:rFonts w:cs="Arial"/>
                <w:szCs w:val="22"/>
                <w:u w:val="single"/>
                <w:lang w:val="es-ES_tradnl"/>
              </w:rPr>
            </w:pPr>
          </w:p>
          <w:p w:rsidR="00916D25" w:rsidRPr="004E2EE9" w:rsidRDefault="00916D25">
            <w:pPr>
              <w:rPr>
                <w:rFonts w:cs="Arial"/>
                <w:szCs w:val="22"/>
                <w:lang w:val="es-ES_tradnl"/>
              </w:rPr>
            </w:pPr>
            <w:r w:rsidRPr="004E2EE9">
              <w:rPr>
                <w:rFonts w:cs="Arial"/>
                <w:szCs w:val="22"/>
                <w:lang w:val="es-ES_tradnl"/>
              </w:rPr>
              <w:t>Capítulo:</w:t>
            </w:r>
          </w:p>
          <w:p w:rsidR="00916D25" w:rsidRPr="004E2EE9" w:rsidRDefault="00916D25">
            <w:pPr>
              <w:rPr>
                <w:rFonts w:cs="Arial"/>
                <w:szCs w:val="22"/>
                <w:lang w:val="es-ES_tradnl"/>
              </w:rPr>
            </w:pPr>
          </w:p>
          <w:p w:rsidR="00916D25" w:rsidRPr="004E2EE9" w:rsidRDefault="00916D25">
            <w:pPr>
              <w:rPr>
                <w:rFonts w:cs="Arial"/>
                <w:szCs w:val="22"/>
                <w:lang w:val="es-ES_tradnl"/>
              </w:rPr>
            </w:pPr>
            <w:r w:rsidRPr="004E2EE9">
              <w:rPr>
                <w:rFonts w:cs="Arial"/>
                <w:szCs w:val="22"/>
                <w:lang w:val="es-ES_tradnl"/>
              </w:rPr>
              <w:t>Epígrafe:</w:t>
            </w:r>
          </w:p>
          <w:p w:rsidR="00916D25" w:rsidRPr="004E2EE9" w:rsidRDefault="00916D25">
            <w:pPr>
              <w:rPr>
                <w:rFonts w:cs="Arial"/>
                <w:szCs w:val="22"/>
                <w:lang w:val="es-ES_tradnl"/>
              </w:rPr>
            </w:pPr>
          </w:p>
          <w:p w:rsidR="00916D25" w:rsidRPr="004E2EE9" w:rsidRDefault="00916D25">
            <w:pPr>
              <w:rPr>
                <w:rFonts w:cs="Arial"/>
                <w:szCs w:val="22"/>
                <w:lang w:val="es-ES_tradnl"/>
              </w:rPr>
            </w:pPr>
          </w:p>
          <w:p w:rsidR="00916D25" w:rsidRPr="004E2EE9" w:rsidRDefault="00916D25">
            <w:pPr>
              <w:rPr>
                <w:rFonts w:cs="Arial"/>
                <w:szCs w:val="22"/>
                <w:lang w:val="es-ES_tradnl"/>
              </w:rPr>
            </w:pPr>
          </w:p>
          <w:p w:rsidR="00916D25" w:rsidRPr="004E2EE9" w:rsidRDefault="00916D25">
            <w:pPr>
              <w:rPr>
                <w:rFonts w:cs="Arial"/>
                <w:szCs w:val="22"/>
                <w:lang w:val="es-ES_tradnl"/>
              </w:rPr>
            </w:pPr>
          </w:p>
          <w:p w:rsidR="00916D25" w:rsidRPr="004E2EE9" w:rsidRDefault="00916D25">
            <w:pPr>
              <w:rPr>
                <w:rFonts w:cs="Arial"/>
                <w:szCs w:val="22"/>
                <w:lang w:val="es-ES_tradnl"/>
              </w:rPr>
            </w:pPr>
          </w:p>
          <w:p w:rsidR="00916D25" w:rsidRPr="004E2EE9" w:rsidRDefault="00916D25">
            <w:pPr>
              <w:rPr>
                <w:rFonts w:cs="Arial"/>
                <w:szCs w:val="22"/>
                <w:lang w:val="es-ES_tradnl"/>
              </w:rPr>
            </w:pPr>
          </w:p>
          <w:p w:rsidR="00916D25" w:rsidRPr="004E2EE9" w:rsidRDefault="00916D25">
            <w:pPr>
              <w:spacing w:after="58"/>
              <w:rPr>
                <w:rFonts w:cs="Arial"/>
                <w:szCs w:val="22"/>
                <w:u w:val="single"/>
                <w:lang w:val="es-ES_tradnl"/>
              </w:rPr>
            </w:pPr>
            <w:r w:rsidRPr="004E2EE9">
              <w:rPr>
                <w:rFonts w:cs="Arial"/>
                <w:szCs w:val="22"/>
                <w:lang w:val="es-ES_tradnl"/>
              </w:rPr>
              <w:t xml:space="preserve">                                                                         (A rellenar en el “Boletín Oficial del Estado”)</w:t>
            </w:r>
          </w:p>
        </w:tc>
        <w:tc>
          <w:tcPr>
            <w:tcW w:w="3141" w:type="dxa"/>
            <w:tcBorders>
              <w:top w:val="single" w:sz="6" w:space="0" w:color="000000"/>
              <w:left w:val="single" w:sz="6" w:space="0" w:color="000000"/>
              <w:bottom w:val="single" w:sz="7" w:space="0" w:color="000000"/>
              <w:right w:val="single" w:sz="6" w:space="0" w:color="000000"/>
            </w:tcBorders>
          </w:tcPr>
          <w:p w:rsidR="00916D25" w:rsidRPr="004E2EE9" w:rsidRDefault="00916D25">
            <w:pPr>
              <w:spacing w:line="120" w:lineRule="exact"/>
              <w:rPr>
                <w:rFonts w:cs="Arial"/>
                <w:szCs w:val="22"/>
                <w:u w:val="single"/>
                <w:lang w:val="es-ES_tradnl"/>
              </w:rPr>
            </w:pPr>
          </w:p>
          <w:p w:rsidR="00916D25" w:rsidRPr="004E2EE9" w:rsidRDefault="00916D25">
            <w:pPr>
              <w:spacing w:after="58" w:line="192" w:lineRule="auto"/>
              <w:rPr>
                <w:rFonts w:cs="Arial"/>
                <w:szCs w:val="22"/>
                <w:u w:val="single"/>
                <w:lang w:val="es-ES_tradnl"/>
              </w:rPr>
            </w:pPr>
          </w:p>
        </w:tc>
      </w:tr>
      <w:tr w:rsidR="00916D25" w:rsidRPr="004E2EE9">
        <w:trPr>
          <w:cantSplit/>
          <w:trHeight w:hRule="exact" w:val="680"/>
        </w:trPr>
        <w:tc>
          <w:tcPr>
            <w:tcW w:w="6609" w:type="dxa"/>
            <w:vMerge/>
            <w:tcBorders>
              <w:left w:val="single" w:sz="6" w:space="0" w:color="000000"/>
              <w:right w:val="single" w:sz="7" w:space="0" w:color="000000"/>
            </w:tcBorders>
          </w:tcPr>
          <w:p w:rsidR="00916D25" w:rsidRPr="004E2EE9" w:rsidRDefault="00916D25">
            <w:pPr>
              <w:spacing w:after="58" w:line="192" w:lineRule="auto"/>
              <w:rPr>
                <w:rFonts w:cs="Arial"/>
                <w:szCs w:val="22"/>
                <w:u w:val="single"/>
                <w:lang w:val="es-ES_tradnl"/>
              </w:rPr>
            </w:pPr>
          </w:p>
        </w:tc>
        <w:tc>
          <w:tcPr>
            <w:tcW w:w="3141" w:type="dxa"/>
            <w:tcBorders>
              <w:top w:val="single" w:sz="6" w:space="0" w:color="000000"/>
              <w:left w:val="single" w:sz="6" w:space="0" w:color="000000"/>
              <w:bottom w:val="single" w:sz="7" w:space="0" w:color="000000"/>
              <w:right w:val="single" w:sz="6" w:space="0" w:color="000000"/>
            </w:tcBorders>
          </w:tcPr>
          <w:p w:rsidR="00916D25" w:rsidRPr="004E2EE9" w:rsidRDefault="00916D25">
            <w:pPr>
              <w:spacing w:line="120" w:lineRule="exact"/>
              <w:rPr>
                <w:rFonts w:cs="Arial"/>
                <w:szCs w:val="22"/>
                <w:u w:val="single"/>
                <w:lang w:val="es-ES_tradnl"/>
              </w:rPr>
            </w:pPr>
          </w:p>
          <w:p w:rsidR="00916D25" w:rsidRPr="004E2EE9" w:rsidRDefault="00916D25">
            <w:pPr>
              <w:spacing w:after="58" w:line="192" w:lineRule="auto"/>
              <w:rPr>
                <w:rFonts w:cs="Arial"/>
                <w:szCs w:val="22"/>
                <w:u w:val="single"/>
                <w:lang w:val="es-ES_tradnl"/>
              </w:rPr>
            </w:pPr>
          </w:p>
        </w:tc>
      </w:tr>
      <w:tr w:rsidR="00916D25" w:rsidRPr="004E2EE9">
        <w:trPr>
          <w:cantSplit/>
          <w:trHeight w:hRule="exact" w:val="680"/>
        </w:trPr>
        <w:tc>
          <w:tcPr>
            <w:tcW w:w="6609" w:type="dxa"/>
            <w:vMerge/>
            <w:tcBorders>
              <w:left w:val="single" w:sz="6" w:space="0" w:color="000000"/>
              <w:bottom w:val="single" w:sz="6" w:space="0" w:color="000000"/>
              <w:right w:val="single" w:sz="7" w:space="0" w:color="000000"/>
            </w:tcBorders>
          </w:tcPr>
          <w:p w:rsidR="00916D25" w:rsidRPr="004E2EE9" w:rsidRDefault="00916D25">
            <w:pPr>
              <w:spacing w:after="58" w:line="192" w:lineRule="auto"/>
              <w:rPr>
                <w:rFonts w:cs="Arial"/>
                <w:szCs w:val="22"/>
                <w:u w:val="single"/>
                <w:lang w:val="es-ES_tradnl"/>
              </w:rPr>
            </w:pPr>
          </w:p>
        </w:tc>
        <w:tc>
          <w:tcPr>
            <w:tcW w:w="3141" w:type="dxa"/>
            <w:tcBorders>
              <w:top w:val="single" w:sz="6" w:space="0" w:color="000000"/>
              <w:left w:val="single" w:sz="6" w:space="0" w:color="000000"/>
              <w:bottom w:val="single" w:sz="6" w:space="0" w:color="000000"/>
              <w:right w:val="single" w:sz="6" w:space="0" w:color="000000"/>
            </w:tcBorders>
          </w:tcPr>
          <w:p w:rsidR="00916D25" w:rsidRPr="004E2EE9" w:rsidRDefault="00916D25">
            <w:pPr>
              <w:spacing w:line="120" w:lineRule="exact"/>
              <w:rPr>
                <w:rFonts w:cs="Arial"/>
                <w:szCs w:val="22"/>
                <w:u w:val="single"/>
                <w:lang w:val="es-ES_tradnl"/>
              </w:rPr>
            </w:pPr>
          </w:p>
          <w:p w:rsidR="00916D25" w:rsidRPr="004E2EE9" w:rsidRDefault="00916D25">
            <w:pPr>
              <w:spacing w:after="58" w:line="192" w:lineRule="auto"/>
              <w:rPr>
                <w:rFonts w:cs="Arial"/>
                <w:szCs w:val="22"/>
                <w:u w:val="single"/>
                <w:lang w:val="es-ES_tradnl"/>
              </w:rPr>
            </w:pPr>
          </w:p>
        </w:tc>
      </w:tr>
    </w:tbl>
    <w:p w:rsidR="00916D25" w:rsidRPr="004E2EE9" w:rsidRDefault="00916D25">
      <w:pPr>
        <w:ind w:left="283"/>
        <w:jc w:val="both"/>
        <w:rPr>
          <w:rFonts w:cs="Arial"/>
          <w:szCs w:val="22"/>
          <w:u w:val="single"/>
          <w:lang w:val="es-ES_tradnl"/>
        </w:rPr>
      </w:pPr>
    </w:p>
    <w:p w:rsidR="00916D25" w:rsidRPr="004E2EE9" w:rsidRDefault="00916D25">
      <w:pPr>
        <w:ind w:left="283"/>
        <w:jc w:val="center"/>
        <w:rPr>
          <w:rFonts w:cs="Arial"/>
          <w:szCs w:val="22"/>
          <w:lang w:val="es-ES_tradnl"/>
        </w:rPr>
      </w:pPr>
      <w:r w:rsidRPr="004E2EE9">
        <w:rPr>
          <w:rFonts w:cs="Arial"/>
          <w:szCs w:val="22"/>
          <w:lang w:val="es-ES_tradnl"/>
        </w:rPr>
        <w:t>SUMARIO:</w:t>
      </w:r>
    </w:p>
    <w:tbl>
      <w:tblPr>
        <w:tblW w:w="0" w:type="auto"/>
        <w:tblInd w:w="403" w:type="dxa"/>
        <w:tblLayout w:type="fixed"/>
        <w:tblCellMar>
          <w:left w:w="120" w:type="dxa"/>
          <w:right w:w="120" w:type="dxa"/>
        </w:tblCellMar>
        <w:tblLook w:val="0000" w:firstRow="0" w:lastRow="0" w:firstColumn="0" w:lastColumn="0" w:noHBand="0" w:noVBand="0"/>
      </w:tblPr>
      <w:tblGrid>
        <w:gridCol w:w="316"/>
        <w:gridCol w:w="9150"/>
        <w:gridCol w:w="260"/>
      </w:tblGrid>
      <w:tr w:rsidR="00916D25" w:rsidRPr="004E2EE9">
        <w:tc>
          <w:tcPr>
            <w:tcW w:w="316" w:type="dxa"/>
            <w:tcBorders>
              <w:top w:val="single" w:sz="6" w:space="0" w:color="000000"/>
              <w:left w:val="single" w:sz="6" w:space="0" w:color="000000"/>
              <w:bottom w:val="single" w:sz="6" w:space="0" w:color="000000"/>
            </w:tcBorders>
          </w:tcPr>
          <w:p w:rsidR="00916D25" w:rsidRPr="004E2EE9" w:rsidRDefault="00916D25">
            <w:pPr>
              <w:spacing w:line="120" w:lineRule="exact"/>
              <w:rPr>
                <w:rFonts w:cs="Arial"/>
                <w:szCs w:val="22"/>
                <w:lang w:val="es-ES_tradnl"/>
              </w:rPr>
            </w:pPr>
          </w:p>
          <w:p w:rsidR="00916D25" w:rsidRPr="004E2EE9" w:rsidRDefault="00916D25">
            <w:pPr>
              <w:spacing w:after="58"/>
              <w:rPr>
                <w:rFonts w:cs="Arial"/>
                <w:szCs w:val="22"/>
                <w:lang w:val="es-ES_tradnl"/>
              </w:rPr>
            </w:pPr>
          </w:p>
        </w:tc>
        <w:tc>
          <w:tcPr>
            <w:tcW w:w="9150" w:type="dxa"/>
            <w:tcBorders>
              <w:top w:val="single" w:sz="6" w:space="0" w:color="000000"/>
              <w:bottom w:val="single" w:sz="6" w:space="0" w:color="000000"/>
            </w:tcBorders>
          </w:tcPr>
          <w:p w:rsidR="00916D25" w:rsidRPr="004E2EE9" w:rsidRDefault="00916D25">
            <w:pPr>
              <w:spacing w:line="120" w:lineRule="exact"/>
              <w:rPr>
                <w:rFonts w:cs="Arial"/>
                <w:szCs w:val="22"/>
                <w:lang w:val="es-ES_tradnl"/>
              </w:rPr>
            </w:pPr>
          </w:p>
          <w:p w:rsidR="00916D25" w:rsidRPr="004E2EE9" w:rsidRDefault="00916D25" w:rsidP="005C2348">
            <w:pPr>
              <w:spacing w:after="58"/>
              <w:jc w:val="both"/>
              <w:rPr>
                <w:rFonts w:cs="Arial"/>
                <w:bCs/>
                <w:szCs w:val="22"/>
                <w:lang w:val="es-ES_tradnl"/>
              </w:rPr>
            </w:pPr>
            <w:r w:rsidRPr="004E2EE9">
              <w:rPr>
                <w:rFonts w:cs="Arial"/>
                <w:bCs/>
                <w:szCs w:val="22"/>
                <w:lang w:val="es-ES_tradnl"/>
              </w:rPr>
              <w:t xml:space="preserve">ORDEN </w:t>
            </w:r>
            <w:r w:rsidR="00534609" w:rsidRPr="004E2EE9">
              <w:rPr>
                <w:rFonts w:cs="Arial"/>
                <w:bCs/>
                <w:szCs w:val="22"/>
                <w:lang w:val="es-ES_tradnl"/>
              </w:rPr>
              <w:t>JUS/</w:t>
            </w:r>
            <w:r w:rsidR="008B4170" w:rsidRPr="004E2EE9">
              <w:rPr>
                <w:rFonts w:cs="Arial"/>
                <w:bCs/>
                <w:szCs w:val="22"/>
                <w:lang w:val="es-ES_tradnl"/>
              </w:rPr>
              <w:t xml:space="preserve">   </w:t>
            </w:r>
            <w:r w:rsidR="00534609" w:rsidRPr="004E2EE9">
              <w:rPr>
                <w:rFonts w:cs="Arial"/>
                <w:bCs/>
                <w:szCs w:val="22"/>
                <w:lang w:val="es-ES_tradnl"/>
              </w:rPr>
              <w:t>/2</w:t>
            </w:r>
            <w:r w:rsidRPr="004E2EE9">
              <w:rPr>
                <w:rFonts w:cs="Arial"/>
                <w:bCs/>
                <w:szCs w:val="22"/>
                <w:lang w:val="es-ES_tradnl"/>
              </w:rPr>
              <w:t>0</w:t>
            </w:r>
            <w:r w:rsidR="00764D5C">
              <w:rPr>
                <w:rFonts w:cs="Arial"/>
                <w:bCs/>
                <w:szCs w:val="22"/>
                <w:lang w:val="es-ES_tradnl"/>
              </w:rPr>
              <w:t>2</w:t>
            </w:r>
            <w:r w:rsidR="00A945F2">
              <w:rPr>
                <w:rFonts w:cs="Arial"/>
                <w:bCs/>
                <w:szCs w:val="22"/>
                <w:lang w:val="es-ES_tradnl"/>
              </w:rPr>
              <w:t>1</w:t>
            </w:r>
            <w:r w:rsidRPr="004E2EE9">
              <w:rPr>
                <w:rFonts w:cs="Arial"/>
                <w:bCs/>
                <w:szCs w:val="22"/>
                <w:lang w:val="es-ES_tradnl"/>
              </w:rPr>
              <w:t xml:space="preserve">, </w:t>
            </w:r>
            <w:r w:rsidR="00534609" w:rsidRPr="004E2EE9">
              <w:rPr>
                <w:rFonts w:cs="Arial"/>
                <w:bCs/>
                <w:szCs w:val="22"/>
                <w:lang w:val="es-ES_tradnl"/>
              </w:rPr>
              <w:t xml:space="preserve">de </w:t>
            </w:r>
            <w:r w:rsidR="00D851BA">
              <w:rPr>
                <w:rFonts w:cs="Arial"/>
                <w:bCs/>
                <w:szCs w:val="22"/>
                <w:lang w:val="es-ES_tradnl"/>
              </w:rPr>
              <w:t>1</w:t>
            </w:r>
            <w:r w:rsidR="00494C55">
              <w:rPr>
                <w:rFonts w:cs="Arial"/>
                <w:bCs/>
                <w:szCs w:val="22"/>
                <w:lang w:val="es-ES_tradnl"/>
              </w:rPr>
              <w:t>5</w:t>
            </w:r>
            <w:r w:rsidR="00534609" w:rsidRPr="004E2EE9">
              <w:rPr>
                <w:rFonts w:cs="Arial"/>
                <w:bCs/>
                <w:szCs w:val="22"/>
                <w:lang w:val="es-ES_tradnl"/>
              </w:rPr>
              <w:t xml:space="preserve"> de </w:t>
            </w:r>
            <w:r w:rsidR="00764D5C">
              <w:rPr>
                <w:rFonts w:cs="Arial"/>
                <w:bCs/>
                <w:szCs w:val="22"/>
                <w:lang w:val="es-ES_tradnl"/>
              </w:rPr>
              <w:t>ju</w:t>
            </w:r>
            <w:r w:rsidR="00494C55">
              <w:rPr>
                <w:rFonts w:cs="Arial"/>
                <w:bCs/>
                <w:szCs w:val="22"/>
                <w:lang w:val="es-ES_tradnl"/>
              </w:rPr>
              <w:t>l</w:t>
            </w:r>
            <w:r w:rsidR="00764D5C">
              <w:rPr>
                <w:rFonts w:cs="Arial"/>
                <w:bCs/>
                <w:szCs w:val="22"/>
                <w:lang w:val="es-ES_tradnl"/>
              </w:rPr>
              <w:t>io</w:t>
            </w:r>
            <w:r w:rsidR="00534609" w:rsidRPr="004E2EE9">
              <w:rPr>
                <w:rFonts w:cs="Arial"/>
                <w:bCs/>
                <w:szCs w:val="22"/>
                <w:lang w:val="es-ES_tradnl"/>
              </w:rPr>
              <w:t xml:space="preserve">, </w:t>
            </w:r>
            <w:r w:rsidRPr="004E2EE9">
              <w:rPr>
                <w:rFonts w:cs="Arial"/>
                <w:bCs/>
                <w:szCs w:val="22"/>
                <w:lang w:val="es-ES_tradnl"/>
              </w:rPr>
              <w:t xml:space="preserve">del Ministerio de Justicia, por la que se hace pública la relación de plazas correspondientes al ámbito de Península y Baleares, que se ofrecen a los aspirantes aprobados en las pruebas selectivas para ingreso en el Cuerpo de </w:t>
            </w:r>
            <w:r w:rsidR="005C2348">
              <w:rPr>
                <w:rFonts w:cs="Arial"/>
                <w:bCs/>
                <w:szCs w:val="22"/>
                <w:lang w:val="es-ES_tradnl"/>
              </w:rPr>
              <w:t>Tramitación</w:t>
            </w:r>
            <w:r w:rsidRPr="004E2EE9">
              <w:rPr>
                <w:rFonts w:cs="Arial"/>
                <w:bCs/>
                <w:szCs w:val="22"/>
                <w:lang w:val="es-ES_tradnl"/>
              </w:rPr>
              <w:t xml:space="preserve"> Procesal y Administrativa de la Administración de Justicia, turno</w:t>
            </w:r>
            <w:r w:rsidR="00D851BA">
              <w:rPr>
                <w:rFonts w:cs="Arial"/>
                <w:bCs/>
                <w:szCs w:val="22"/>
                <w:lang w:val="es-ES_tradnl"/>
              </w:rPr>
              <w:t xml:space="preserve"> </w:t>
            </w:r>
            <w:r w:rsidR="00CC3731" w:rsidRPr="004E2EE9">
              <w:rPr>
                <w:rFonts w:cs="Arial"/>
                <w:bCs/>
                <w:szCs w:val="22"/>
                <w:lang w:val="es-ES_tradnl"/>
              </w:rPr>
              <w:t>libre</w:t>
            </w:r>
            <w:r w:rsidRPr="004E2EE9">
              <w:rPr>
                <w:rFonts w:cs="Arial"/>
                <w:bCs/>
                <w:szCs w:val="22"/>
                <w:lang w:val="es-ES_tradnl"/>
              </w:rPr>
              <w:t>, convocada por Orden JUS/</w:t>
            </w:r>
            <w:r w:rsidR="00494C55">
              <w:rPr>
                <w:rFonts w:cs="Arial"/>
                <w:bCs/>
                <w:szCs w:val="22"/>
                <w:lang w:val="es-ES_tradnl"/>
              </w:rPr>
              <w:t>903</w:t>
            </w:r>
            <w:r w:rsidRPr="004E2EE9">
              <w:rPr>
                <w:rFonts w:cs="Arial"/>
                <w:bCs/>
                <w:szCs w:val="22"/>
                <w:lang w:val="es-ES_tradnl"/>
              </w:rPr>
              <w:t>/20</w:t>
            </w:r>
            <w:r w:rsidR="00594E4D" w:rsidRPr="004E2EE9">
              <w:rPr>
                <w:rFonts w:cs="Arial"/>
                <w:bCs/>
                <w:szCs w:val="22"/>
                <w:lang w:val="es-ES_tradnl"/>
              </w:rPr>
              <w:t>1</w:t>
            </w:r>
            <w:r w:rsidR="00764D5C">
              <w:rPr>
                <w:rFonts w:cs="Arial"/>
                <w:bCs/>
                <w:szCs w:val="22"/>
                <w:lang w:val="es-ES_tradnl"/>
              </w:rPr>
              <w:t>9</w:t>
            </w:r>
            <w:r w:rsidRPr="004E2EE9">
              <w:rPr>
                <w:rFonts w:cs="Arial"/>
                <w:bCs/>
                <w:szCs w:val="22"/>
                <w:lang w:val="es-ES_tradnl"/>
              </w:rPr>
              <w:t xml:space="preserve">, de </w:t>
            </w:r>
            <w:r w:rsidR="00494C55">
              <w:rPr>
                <w:rFonts w:cs="Arial"/>
                <w:bCs/>
                <w:szCs w:val="22"/>
                <w:lang w:val="es-ES_tradnl"/>
              </w:rPr>
              <w:t>9</w:t>
            </w:r>
            <w:r w:rsidRPr="004E2EE9">
              <w:rPr>
                <w:rFonts w:cs="Arial"/>
                <w:bCs/>
                <w:szCs w:val="22"/>
                <w:lang w:val="es-ES_tradnl"/>
              </w:rPr>
              <w:t xml:space="preserve"> de </w:t>
            </w:r>
            <w:r w:rsidR="00494C55">
              <w:rPr>
                <w:rFonts w:cs="Arial"/>
                <w:bCs/>
                <w:szCs w:val="22"/>
                <w:lang w:val="es-ES_tradnl"/>
              </w:rPr>
              <w:t>agosto</w:t>
            </w:r>
            <w:r w:rsidRPr="004E2EE9">
              <w:rPr>
                <w:rFonts w:cs="Arial"/>
                <w:bCs/>
                <w:szCs w:val="22"/>
                <w:lang w:val="es-ES_tradnl"/>
              </w:rPr>
              <w:t>.</w:t>
            </w:r>
          </w:p>
        </w:tc>
        <w:tc>
          <w:tcPr>
            <w:tcW w:w="260" w:type="dxa"/>
            <w:tcBorders>
              <w:top w:val="single" w:sz="6" w:space="0" w:color="000000"/>
              <w:bottom w:val="single" w:sz="6" w:space="0" w:color="000000"/>
              <w:right w:val="single" w:sz="6" w:space="0" w:color="000000"/>
            </w:tcBorders>
          </w:tcPr>
          <w:p w:rsidR="00916D25" w:rsidRPr="004E2EE9" w:rsidRDefault="00916D25">
            <w:pPr>
              <w:spacing w:line="120" w:lineRule="exact"/>
              <w:rPr>
                <w:rFonts w:cs="Arial"/>
                <w:szCs w:val="22"/>
                <w:lang w:val="es-ES_tradnl"/>
              </w:rPr>
            </w:pPr>
          </w:p>
          <w:p w:rsidR="00916D25" w:rsidRPr="004E2EE9" w:rsidRDefault="00916D25">
            <w:pPr>
              <w:spacing w:after="58"/>
              <w:rPr>
                <w:rFonts w:cs="Arial"/>
                <w:szCs w:val="22"/>
                <w:lang w:val="es-ES_tradnl"/>
              </w:rPr>
            </w:pPr>
          </w:p>
        </w:tc>
      </w:tr>
    </w:tbl>
    <w:p w:rsidR="00916D25" w:rsidRPr="004E2EE9" w:rsidRDefault="00916D25">
      <w:pPr>
        <w:ind w:left="283"/>
        <w:jc w:val="center"/>
        <w:rPr>
          <w:rFonts w:cs="Arial"/>
          <w:szCs w:val="22"/>
          <w:u w:val="single"/>
          <w:lang w:val="es-ES_tradnl"/>
        </w:rPr>
      </w:pPr>
    </w:p>
    <w:p w:rsidR="00916D25" w:rsidRPr="004E2EE9" w:rsidRDefault="00916D25">
      <w:pPr>
        <w:ind w:left="283"/>
        <w:jc w:val="center"/>
        <w:rPr>
          <w:rFonts w:cs="Arial"/>
          <w:sz w:val="16"/>
          <w:szCs w:val="16"/>
          <w:u w:val="single"/>
          <w:lang w:val="es-ES_tradnl"/>
        </w:rPr>
      </w:pPr>
      <w:r w:rsidRPr="004E2EE9">
        <w:rPr>
          <w:rFonts w:cs="Arial"/>
          <w:sz w:val="16"/>
          <w:szCs w:val="16"/>
          <w:lang w:val="es-ES_tradnl"/>
        </w:rPr>
        <w:t>TEXTO:</w:t>
      </w:r>
    </w:p>
    <w:p w:rsidR="00916D25" w:rsidRPr="004E2EE9" w:rsidRDefault="00916D25">
      <w:pPr>
        <w:ind w:left="283"/>
        <w:jc w:val="center"/>
        <w:rPr>
          <w:rFonts w:cs="Arial"/>
          <w:sz w:val="16"/>
          <w:szCs w:val="16"/>
          <w:lang w:val="es-ES_tradnl"/>
        </w:rPr>
      </w:pPr>
      <w:r w:rsidRPr="004E2EE9">
        <w:rPr>
          <w:rFonts w:cs="Arial"/>
          <w:sz w:val="16"/>
          <w:szCs w:val="16"/>
          <w:lang w:val="es-ES_tradnl"/>
        </w:rPr>
        <w:t>(Escríbase a dos espacios)</w:t>
      </w:r>
    </w:p>
    <w:p w:rsidR="00D851BA" w:rsidRDefault="00CC3731" w:rsidP="00D851BA">
      <w:pPr>
        <w:spacing w:line="360" w:lineRule="auto"/>
        <w:ind w:left="426" w:firstLine="567"/>
        <w:jc w:val="both"/>
        <w:rPr>
          <w:rFonts w:cs="Arial"/>
          <w:szCs w:val="22"/>
          <w:lang w:val="es-ES_tradnl"/>
        </w:rPr>
      </w:pPr>
      <w:r w:rsidRPr="00CC3731">
        <w:rPr>
          <w:rFonts w:cs="Arial"/>
          <w:szCs w:val="22"/>
          <w:lang w:val="es-ES_tradnl"/>
        </w:rPr>
        <w:tab/>
      </w:r>
      <w:r w:rsidR="00D851BA" w:rsidRPr="00D851BA">
        <w:rPr>
          <w:rFonts w:cs="Arial"/>
          <w:szCs w:val="22"/>
          <w:lang w:val="es-ES_tradnl"/>
        </w:rPr>
        <w:t>De conformidad con lo establecido en la Base Decimoséptima de la Orden JUS/</w:t>
      </w:r>
      <w:r w:rsidR="00052BDD">
        <w:rPr>
          <w:rFonts w:cs="Arial"/>
          <w:szCs w:val="22"/>
          <w:lang w:val="es-ES_tradnl"/>
        </w:rPr>
        <w:t>291</w:t>
      </w:r>
      <w:r w:rsidR="00D851BA" w:rsidRPr="00D851BA">
        <w:rPr>
          <w:rFonts w:cs="Arial"/>
          <w:szCs w:val="22"/>
          <w:lang w:val="es-ES_tradnl"/>
        </w:rPr>
        <w:t>/201</w:t>
      </w:r>
      <w:r w:rsidR="00052BDD">
        <w:rPr>
          <w:rFonts w:cs="Arial"/>
          <w:szCs w:val="22"/>
          <w:lang w:val="es-ES_tradnl"/>
        </w:rPr>
        <w:t>9</w:t>
      </w:r>
      <w:r w:rsidR="00D851BA" w:rsidRPr="00D851BA">
        <w:rPr>
          <w:rFonts w:cs="Arial"/>
          <w:szCs w:val="22"/>
          <w:lang w:val="es-ES_tradnl"/>
        </w:rPr>
        <w:t xml:space="preserve">, de </w:t>
      </w:r>
      <w:r w:rsidR="00052BDD">
        <w:rPr>
          <w:rFonts w:cs="Arial"/>
          <w:szCs w:val="22"/>
          <w:lang w:val="es-ES_tradnl"/>
        </w:rPr>
        <w:t>4</w:t>
      </w:r>
      <w:r w:rsidR="00D851BA" w:rsidRPr="00D851BA">
        <w:rPr>
          <w:rFonts w:cs="Arial"/>
          <w:szCs w:val="22"/>
          <w:lang w:val="es-ES_tradnl"/>
        </w:rPr>
        <w:t xml:space="preserve"> de </w:t>
      </w:r>
      <w:r w:rsidR="00052BDD">
        <w:rPr>
          <w:rFonts w:cs="Arial"/>
          <w:szCs w:val="22"/>
          <w:lang w:val="es-ES_tradnl"/>
        </w:rPr>
        <w:t>marzo</w:t>
      </w:r>
      <w:r w:rsidR="00D851BA" w:rsidRPr="00D851BA">
        <w:rPr>
          <w:rFonts w:cs="Arial"/>
          <w:szCs w:val="22"/>
          <w:lang w:val="es-ES_tradnl"/>
        </w:rPr>
        <w:t xml:space="preserve"> (Boletín Oficial del Estado de 15 de </w:t>
      </w:r>
      <w:r w:rsidR="00052BDD">
        <w:rPr>
          <w:rFonts w:cs="Arial"/>
          <w:szCs w:val="22"/>
          <w:lang w:val="es-ES_tradnl"/>
        </w:rPr>
        <w:t>marzo</w:t>
      </w:r>
      <w:r w:rsidR="00D851BA" w:rsidRPr="00D851BA">
        <w:rPr>
          <w:rFonts w:cs="Arial"/>
          <w:szCs w:val="22"/>
          <w:lang w:val="es-ES_tradnl"/>
        </w:rPr>
        <w:t>) por la que se establecen las bases comunes que regirán los procesos selectivos para el ingreso o acceso a los Cuerpos de funcionarios al servicio de la Administración de Justicia y en la base 8.1.a) de la Orden JUS/</w:t>
      </w:r>
      <w:r w:rsidR="00494C55">
        <w:rPr>
          <w:rFonts w:cs="Arial"/>
          <w:szCs w:val="22"/>
          <w:lang w:val="es-ES_tradnl"/>
        </w:rPr>
        <w:t>903</w:t>
      </w:r>
      <w:r w:rsidR="00D851BA" w:rsidRPr="00D851BA">
        <w:rPr>
          <w:rFonts w:cs="Arial"/>
          <w:szCs w:val="22"/>
          <w:lang w:val="es-ES_tradnl"/>
        </w:rPr>
        <w:t>/201</w:t>
      </w:r>
      <w:r w:rsidR="00052BDD">
        <w:rPr>
          <w:rFonts w:cs="Arial"/>
          <w:szCs w:val="22"/>
          <w:lang w:val="es-ES_tradnl"/>
        </w:rPr>
        <w:t>9</w:t>
      </w:r>
      <w:r w:rsidR="00D851BA" w:rsidRPr="00D851BA">
        <w:rPr>
          <w:rFonts w:cs="Arial"/>
          <w:szCs w:val="22"/>
          <w:lang w:val="es-ES_tradnl"/>
        </w:rPr>
        <w:t xml:space="preserve">, de </w:t>
      </w:r>
      <w:r w:rsidR="00494C55">
        <w:rPr>
          <w:rFonts w:cs="Arial"/>
          <w:szCs w:val="22"/>
          <w:lang w:val="es-ES_tradnl"/>
        </w:rPr>
        <w:t>9</w:t>
      </w:r>
      <w:r w:rsidR="00D851BA" w:rsidRPr="00D851BA">
        <w:rPr>
          <w:rFonts w:cs="Arial"/>
          <w:szCs w:val="22"/>
          <w:lang w:val="es-ES_tradnl"/>
        </w:rPr>
        <w:t xml:space="preserve"> de </w:t>
      </w:r>
      <w:r w:rsidR="00494C55">
        <w:rPr>
          <w:rFonts w:cs="Arial"/>
          <w:szCs w:val="22"/>
          <w:lang w:val="es-ES_tradnl"/>
        </w:rPr>
        <w:t>agosto</w:t>
      </w:r>
      <w:r w:rsidR="00D851BA" w:rsidRPr="00D851BA">
        <w:rPr>
          <w:rFonts w:cs="Arial"/>
          <w:szCs w:val="22"/>
          <w:lang w:val="es-ES_tradnl"/>
        </w:rPr>
        <w:t xml:space="preserve"> (Boletín Oficial del Estado de </w:t>
      </w:r>
      <w:r w:rsidR="00494C55">
        <w:rPr>
          <w:rFonts w:cs="Arial"/>
          <w:szCs w:val="22"/>
          <w:lang w:val="es-ES_tradnl"/>
        </w:rPr>
        <w:t>31</w:t>
      </w:r>
      <w:r w:rsidR="00D851BA" w:rsidRPr="00D851BA">
        <w:rPr>
          <w:rFonts w:cs="Arial"/>
          <w:szCs w:val="22"/>
          <w:lang w:val="es-ES_tradnl"/>
        </w:rPr>
        <w:t xml:space="preserve"> de </w:t>
      </w:r>
      <w:r w:rsidR="00494C55">
        <w:rPr>
          <w:rFonts w:cs="Arial"/>
          <w:szCs w:val="22"/>
          <w:lang w:val="es-ES_tradnl"/>
        </w:rPr>
        <w:t>agosto</w:t>
      </w:r>
      <w:r w:rsidR="00D851BA" w:rsidRPr="00D851BA">
        <w:rPr>
          <w:rFonts w:cs="Arial"/>
          <w:szCs w:val="22"/>
          <w:lang w:val="es-ES_tradnl"/>
        </w:rPr>
        <w:t xml:space="preserve">), por la que se convoca proceso selectivo para ingreso por el sistema general de acceso libre en el Cuerpo de </w:t>
      </w:r>
      <w:r w:rsidR="00494C55">
        <w:rPr>
          <w:rFonts w:cs="Arial"/>
          <w:szCs w:val="22"/>
          <w:lang w:val="es-ES_tradnl"/>
        </w:rPr>
        <w:t>Tramitación</w:t>
      </w:r>
      <w:r w:rsidR="00D851BA" w:rsidRPr="00D851BA">
        <w:rPr>
          <w:rFonts w:cs="Arial"/>
          <w:szCs w:val="22"/>
          <w:lang w:val="es-ES_tradnl"/>
        </w:rPr>
        <w:t xml:space="preserve"> Procesal y Administrativa de la Administración de Justicia, se resuelve:</w:t>
      </w:r>
    </w:p>
    <w:p w:rsidR="00C01D6D" w:rsidRPr="00D851BA" w:rsidRDefault="00C01D6D" w:rsidP="00D851BA">
      <w:pPr>
        <w:spacing w:line="360" w:lineRule="auto"/>
        <w:ind w:left="426" w:firstLine="567"/>
        <w:jc w:val="both"/>
        <w:rPr>
          <w:rFonts w:cs="Arial"/>
          <w:szCs w:val="22"/>
          <w:lang w:val="es-ES_tradnl"/>
        </w:rPr>
      </w:pPr>
    </w:p>
    <w:p w:rsidR="00D851BA" w:rsidRDefault="00D851BA" w:rsidP="00D851BA">
      <w:pPr>
        <w:spacing w:line="360" w:lineRule="auto"/>
        <w:ind w:left="426" w:firstLine="567"/>
        <w:jc w:val="both"/>
        <w:rPr>
          <w:rFonts w:cs="Arial"/>
          <w:szCs w:val="22"/>
          <w:lang w:val="es-ES_tradnl"/>
        </w:rPr>
      </w:pPr>
      <w:r w:rsidRPr="00D851BA">
        <w:rPr>
          <w:rFonts w:cs="Arial"/>
          <w:szCs w:val="22"/>
          <w:lang w:val="es-ES_tradnl"/>
        </w:rPr>
        <w:t xml:space="preserve">Primero.- Hacer pública la relación de plazas desiertas en el ámbito territorial de Península y Baleares (Anexo I), que se ofrecen a los aspirantes que han superado el proceso selectivo para ingreso por el sistema general de acceso libre en el Cuerpo de </w:t>
      </w:r>
      <w:r w:rsidR="00494C55">
        <w:rPr>
          <w:rFonts w:cs="Arial"/>
          <w:szCs w:val="22"/>
          <w:lang w:val="es-ES_tradnl"/>
        </w:rPr>
        <w:t>Tramitación</w:t>
      </w:r>
      <w:r w:rsidRPr="00D851BA">
        <w:rPr>
          <w:rFonts w:cs="Arial"/>
          <w:szCs w:val="22"/>
          <w:lang w:val="es-ES_tradnl"/>
        </w:rPr>
        <w:t xml:space="preserve"> Procesal y Adminis</w:t>
      </w:r>
      <w:r w:rsidR="00494C55">
        <w:rPr>
          <w:rFonts w:cs="Arial"/>
          <w:szCs w:val="22"/>
          <w:lang w:val="es-ES_tradnl"/>
        </w:rPr>
        <w:t>trativa convocado por Orden JUS/903</w:t>
      </w:r>
      <w:r w:rsidRPr="00D851BA">
        <w:rPr>
          <w:rFonts w:cs="Arial"/>
          <w:szCs w:val="22"/>
          <w:lang w:val="es-ES_tradnl"/>
        </w:rPr>
        <w:t>/201</w:t>
      </w:r>
      <w:r w:rsidR="00A945F2">
        <w:rPr>
          <w:rFonts w:cs="Arial"/>
          <w:szCs w:val="22"/>
          <w:lang w:val="es-ES_tradnl"/>
        </w:rPr>
        <w:t>9</w:t>
      </w:r>
      <w:r w:rsidRPr="00D851BA">
        <w:rPr>
          <w:rFonts w:cs="Arial"/>
          <w:szCs w:val="22"/>
          <w:lang w:val="es-ES_tradnl"/>
        </w:rPr>
        <w:t xml:space="preserve">, de </w:t>
      </w:r>
      <w:r w:rsidR="00494C55">
        <w:rPr>
          <w:rFonts w:cs="Arial"/>
          <w:szCs w:val="22"/>
          <w:lang w:val="es-ES_tradnl"/>
        </w:rPr>
        <w:t>9</w:t>
      </w:r>
      <w:r w:rsidRPr="00D851BA">
        <w:rPr>
          <w:rFonts w:cs="Arial"/>
          <w:szCs w:val="22"/>
          <w:lang w:val="es-ES_tradnl"/>
        </w:rPr>
        <w:t xml:space="preserve"> de </w:t>
      </w:r>
      <w:r w:rsidR="00494C55">
        <w:rPr>
          <w:rFonts w:cs="Arial"/>
          <w:szCs w:val="22"/>
          <w:lang w:val="es-ES_tradnl"/>
        </w:rPr>
        <w:t>agosto</w:t>
      </w:r>
      <w:r w:rsidRPr="00D851BA">
        <w:rPr>
          <w:rFonts w:cs="Arial"/>
          <w:szCs w:val="22"/>
          <w:lang w:val="es-ES_tradnl"/>
        </w:rPr>
        <w:t>.</w:t>
      </w:r>
    </w:p>
    <w:p w:rsidR="00C01D6D" w:rsidRPr="00D851BA" w:rsidRDefault="00C01D6D" w:rsidP="00D851BA">
      <w:pPr>
        <w:spacing w:line="360" w:lineRule="auto"/>
        <w:ind w:left="426" w:firstLine="567"/>
        <w:jc w:val="both"/>
        <w:rPr>
          <w:rFonts w:cs="Arial"/>
          <w:szCs w:val="22"/>
          <w:lang w:val="es-ES_tradnl"/>
        </w:rPr>
      </w:pPr>
    </w:p>
    <w:p w:rsidR="00D851BA" w:rsidRPr="00D851BA" w:rsidRDefault="00D851BA" w:rsidP="00D851BA">
      <w:pPr>
        <w:spacing w:line="360" w:lineRule="auto"/>
        <w:ind w:left="426" w:firstLine="567"/>
        <w:jc w:val="both"/>
        <w:rPr>
          <w:rFonts w:cs="Arial"/>
          <w:szCs w:val="22"/>
          <w:lang w:val="es-ES_tradnl"/>
        </w:rPr>
      </w:pPr>
      <w:r w:rsidRPr="00D851BA">
        <w:rPr>
          <w:rFonts w:cs="Arial"/>
          <w:szCs w:val="22"/>
          <w:lang w:val="es-ES_tradnl"/>
        </w:rPr>
        <w:t xml:space="preserve">Segundo.- Las solicitudes de destino de los aspirantes de este ámbito se presentarán en el Registro General del Ministerio de Justicia, Secretaría de Estado de Justicia, Calle Bolsa nº 8, 28012 Madrid o por los medios previstos en el art. 16 de la Ley 39/2015, de 1 de octubre, del Procedimiento Administrativo Común de las Administraciones Públicas (Boletín Oficial del Estado del día 2 de octubre), en el plazo </w:t>
      </w:r>
      <w:r w:rsidR="00B42B23">
        <w:rPr>
          <w:rFonts w:cs="Arial"/>
          <w:szCs w:val="22"/>
          <w:lang w:val="es-ES_tradnl"/>
        </w:rPr>
        <w:t>a contar desde el 2 de agosto hasta el 3 de septiembre de 2021</w:t>
      </w:r>
      <w:r w:rsidR="00494C55">
        <w:rPr>
          <w:rFonts w:cs="Arial"/>
          <w:szCs w:val="22"/>
          <w:lang w:val="es-ES_tradnl"/>
        </w:rPr>
        <w:t xml:space="preserve">, </w:t>
      </w:r>
      <w:r w:rsidR="00B42B23">
        <w:rPr>
          <w:rFonts w:cs="Arial"/>
          <w:szCs w:val="22"/>
          <w:lang w:val="es-ES_tradnl"/>
        </w:rPr>
        <w:t xml:space="preserve">ambos inclusive, </w:t>
      </w:r>
      <w:bookmarkStart w:id="0" w:name="_GoBack"/>
      <w:bookmarkEnd w:id="0"/>
      <w:r w:rsidR="00494C55">
        <w:rPr>
          <w:rFonts w:cs="Arial"/>
          <w:szCs w:val="22"/>
          <w:lang w:val="es-ES_tradnl"/>
        </w:rPr>
        <w:t>entendiéndose hábil el mes de agosto a efectos de la presentación de las solicitudes.</w:t>
      </w:r>
    </w:p>
    <w:p w:rsidR="00D851BA" w:rsidRPr="00D851BA" w:rsidRDefault="00D851BA" w:rsidP="00D851BA">
      <w:pPr>
        <w:spacing w:line="336" w:lineRule="auto"/>
        <w:ind w:left="261" w:firstLine="720"/>
        <w:jc w:val="both"/>
        <w:rPr>
          <w:rFonts w:ascii="Times New Roman" w:hAnsi="Times New Roman" w:cs="Arial"/>
          <w:sz w:val="24"/>
          <w:szCs w:val="24"/>
          <w:lang w:val="es-ES_tradnl"/>
        </w:rPr>
      </w:pPr>
    </w:p>
    <w:p w:rsidR="00D851BA" w:rsidRDefault="00D851BA" w:rsidP="00D851BA">
      <w:pPr>
        <w:spacing w:line="360" w:lineRule="auto"/>
        <w:ind w:left="426" w:firstLine="567"/>
        <w:jc w:val="both"/>
        <w:rPr>
          <w:rFonts w:cs="Arial"/>
          <w:szCs w:val="22"/>
          <w:lang w:val="es-ES_tradnl"/>
        </w:rPr>
      </w:pPr>
      <w:r w:rsidRPr="00D851BA">
        <w:rPr>
          <w:rFonts w:cs="Arial"/>
          <w:szCs w:val="22"/>
          <w:lang w:val="es-ES_tradnl"/>
        </w:rPr>
        <w:lastRenderedPageBreak/>
        <w:t>Tercero.- Las solicitudes se formalizarán según modelo que aparece como Anexo II de esta Orden de acuerdo con las siguientes instrucciones:</w:t>
      </w:r>
    </w:p>
    <w:p w:rsidR="00062728" w:rsidRPr="00D851BA" w:rsidRDefault="00062728" w:rsidP="00D851BA">
      <w:pPr>
        <w:spacing w:line="360" w:lineRule="auto"/>
        <w:ind w:left="426" w:firstLine="567"/>
        <w:jc w:val="both"/>
        <w:rPr>
          <w:rFonts w:cs="Arial"/>
          <w:szCs w:val="22"/>
          <w:lang w:val="es-ES_tradnl"/>
        </w:rPr>
      </w:pPr>
    </w:p>
    <w:p w:rsidR="00D851BA" w:rsidRPr="00D851BA" w:rsidRDefault="00D851BA" w:rsidP="00D851BA">
      <w:pPr>
        <w:spacing w:line="360" w:lineRule="auto"/>
        <w:ind w:left="426" w:firstLine="567"/>
        <w:jc w:val="both"/>
        <w:rPr>
          <w:rFonts w:cs="Arial"/>
          <w:szCs w:val="22"/>
          <w:lang w:val="es-ES_tradnl"/>
        </w:rPr>
      </w:pPr>
      <w:r w:rsidRPr="00D851BA">
        <w:rPr>
          <w:rFonts w:cs="Arial"/>
          <w:szCs w:val="22"/>
          <w:lang w:val="es-ES_tradnl"/>
        </w:rPr>
        <w:t>En el modelo de instancia podrán relacionarse hasta el máximo de las plazas ofertadas, indicando el órgano, la localidad, la provincia y la función.</w:t>
      </w:r>
    </w:p>
    <w:p w:rsidR="00D851BA" w:rsidRPr="00D851BA" w:rsidRDefault="00D851BA" w:rsidP="00D851BA">
      <w:pPr>
        <w:spacing w:line="360" w:lineRule="auto"/>
        <w:ind w:left="426" w:firstLine="567"/>
        <w:jc w:val="both"/>
        <w:rPr>
          <w:rFonts w:cs="Arial"/>
          <w:szCs w:val="22"/>
          <w:lang w:val="es-ES_tradnl"/>
        </w:rPr>
      </w:pPr>
      <w:r w:rsidRPr="00D851BA">
        <w:rPr>
          <w:rFonts w:cs="Arial"/>
          <w:szCs w:val="22"/>
          <w:lang w:val="es-ES_tradnl"/>
        </w:rPr>
        <w:t>En caso de no corresponderle ninguno de los destinos especificados de esta forma, por no solicitar un número suficiente de plazas, se seguirá el orden de preferencia por provincias que los interesados indiquen en el modelo de solicitud.</w:t>
      </w:r>
    </w:p>
    <w:p w:rsidR="00D851BA" w:rsidRPr="00D851BA" w:rsidRDefault="00D851BA" w:rsidP="00D851BA">
      <w:pPr>
        <w:spacing w:line="360" w:lineRule="auto"/>
        <w:ind w:left="426" w:firstLine="567"/>
        <w:jc w:val="both"/>
        <w:rPr>
          <w:rFonts w:cs="Arial"/>
          <w:szCs w:val="22"/>
          <w:lang w:val="es-ES_tradnl"/>
        </w:rPr>
      </w:pPr>
      <w:r w:rsidRPr="00D851BA">
        <w:rPr>
          <w:rFonts w:cs="Arial"/>
          <w:szCs w:val="22"/>
          <w:lang w:val="es-ES_tradnl"/>
        </w:rPr>
        <w:t>Dentro de cada provincia, los destinos serán adjudicados por el siguiente orden:</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Tribunal Supremo y Órganos Centrales.</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Tribunales Superiores de Justicia.</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Audiencias Provinciales.</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Fiscalías.</w:t>
      </w:r>
    </w:p>
    <w:p w:rsidR="00D851BA" w:rsidRPr="00D851BA" w:rsidRDefault="00D851BA" w:rsidP="00D851BA">
      <w:pPr>
        <w:numPr>
          <w:ilvl w:val="0"/>
          <w:numId w:val="3"/>
        </w:numPr>
        <w:tabs>
          <w:tab w:val="num" w:pos="1985"/>
        </w:tabs>
        <w:spacing w:line="360" w:lineRule="auto"/>
        <w:ind w:left="1985" w:hanging="347"/>
        <w:jc w:val="both"/>
        <w:rPr>
          <w:rFonts w:cs="Arial"/>
          <w:szCs w:val="22"/>
          <w:lang w:val="es-ES_tradnl"/>
        </w:rPr>
      </w:pPr>
      <w:r w:rsidRPr="00D851BA">
        <w:rPr>
          <w:rFonts w:cs="Arial"/>
          <w:szCs w:val="22"/>
          <w:lang w:val="es-ES_tradnl"/>
        </w:rPr>
        <w:t>Relaciones de Puestos de Trabajo de la Oficina Judicial en la capital de provincia donde esté implantada.</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Institutos de Medicina Legal.</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Decanatos y servicios comunes.</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Instrucción.</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lo Penal.</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Vigilancia Penitenciaria.</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Violencia sobre la Mujer.</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Primera Instancia.</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lo Mercantil.</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lo Contencioso-Administrativo.</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lo Social.</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Primera Instancia e Instrucción.</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Menores.</w:t>
      </w:r>
    </w:p>
    <w:p w:rsidR="00D851BA" w:rsidRPr="00D851BA" w:rsidRDefault="00D851BA" w:rsidP="00D851BA">
      <w:pPr>
        <w:numPr>
          <w:ilvl w:val="0"/>
          <w:numId w:val="3"/>
        </w:numPr>
        <w:spacing w:line="360" w:lineRule="auto"/>
        <w:ind w:firstLine="567"/>
        <w:jc w:val="both"/>
        <w:rPr>
          <w:rFonts w:cs="Arial"/>
          <w:szCs w:val="22"/>
          <w:lang w:val="es-ES_tradnl"/>
        </w:rPr>
      </w:pPr>
      <w:r w:rsidRPr="00D851BA">
        <w:rPr>
          <w:rFonts w:cs="Arial"/>
          <w:szCs w:val="22"/>
          <w:lang w:val="es-ES_tradnl"/>
        </w:rPr>
        <w:t>Juzgados de Paz.</w:t>
      </w:r>
    </w:p>
    <w:p w:rsidR="00D851BA" w:rsidRDefault="00D851BA" w:rsidP="00D851BA">
      <w:pPr>
        <w:numPr>
          <w:ilvl w:val="0"/>
          <w:numId w:val="3"/>
        </w:numPr>
        <w:tabs>
          <w:tab w:val="num" w:pos="1701"/>
        </w:tabs>
        <w:spacing w:line="360" w:lineRule="auto"/>
        <w:ind w:left="2127" w:hanging="489"/>
        <w:jc w:val="both"/>
        <w:rPr>
          <w:rFonts w:cs="Arial"/>
          <w:szCs w:val="22"/>
          <w:lang w:val="es-ES_tradnl"/>
        </w:rPr>
      </w:pPr>
      <w:r w:rsidRPr="00D851BA">
        <w:rPr>
          <w:rFonts w:cs="Arial"/>
          <w:szCs w:val="22"/>
          <w:lang w:val="es-ES_tradnl"/>
        </w:rPr>
        <w:t>Relaciones de Puestos de Trabajo de la Oficina Judicial en la localidad donde esté implantada.</w:t>
      </w:r>
    </w:p>
    <w:p w:rsidR="00062728" w:rsidRPr="00D851BA" w:rsidRDefault="00062728" w:rsidP="005D19C9">
      <w:pPr>
        <w:tabs>
          <w:tab w:val="num" w:pos="1701"/>
        </w:tabs>
        <w:spacing w:line="360" w:lineRule="auto"/>
        <w:ind w:left="2127"/>
        <w:jc w:val="both"/>
        <w:rPr>
          <w:rFonts w:cs="Arial"/>
          <w:szCs w:val="22"/>
          <w:lang w:val="es-ES_tradnl"/>
        </w:rPr>
      </w:pPr>
    </w:p>
    <w:p w:rsidR="00D851BA" w:rsidRDefault="00D851BA" w:rsidP="00D851BA">
      <w:pPr>
        <w:spacing w:line="360" w:lineRule="auto"/>
        <w:ind w:left="426" w:firstLine="567"/>
        <w:jc w:val="both"/>
        <w:rPr>
          <w:rFonts w:cs="Arial"/>
          <w:szCs w:val="22"/>
          <w:lang w:val="es-ES_tradnl"/>
        </w:rPr>
      </w:pPr>
      <w:r w:rsidRPr="00D851BA">
        <w:rPr>
          <w:rFonts w:cs="Arial"/>
          <w:szCs w:val="22"/>
          <w:lang w:val="es-ES_tradnl"/>
        </w:rPr>
        <w:t>Cuarto.- Se procederá a la adjudicación de destinos según el orden obtenido en todo el proceso selectivo</w:t>
      </w:r>
      <w:r w:rsidR="004E310F">
        <w:rPr>
          <w:rFonts w:cs="Arial"/>
          <w:szCs w:val="22"/>
          <w:lang w:val="es-ES_tradnl"/>
        </w:rPr>
        <w:t>.</w:t>
      </w:r>
    </w:p>
    <w:p w:rsidR="00062728" w:rsidRPr="00D851BA" w:rsidRDefault="00062728" w:rsidP="00D851BA">
      <w:pPr>
        <w:spacing w:line="360" w:lineRule="auto"/>
        <w:ind w:left="426" w:firstLine="567"/>
        <w:jc w:val="both"/>
        <w:rPr>
          <w:rFonts w:cs="Arial"/>
          <w:szCs w:val="22"/>
          <w:lang w:val="es-ES_tradnl"/>
        </w:rPr>
      </w:pPr>
    </w:p>
    <w:p w:rsidR="00D851BA" w:rsidRDefault="00D851BA" w:rsidP="00D851BA">
      <w:pPr>
        <w:spacing w:line="360" w:lineRule="auto"/>
        <w:ind w:left="426" w:firstLine="567"/>
        <w:jc w:val="both"/>
        <w:rPr>
          <w:rFonts w:cs="Arial"/>
          <w:szCs w:val="22"/>
          <w:lang w:val="es-ES_tradnl"/>
        </w:rPr>
      </w:pPr>
      <w:r w:rsidRPr="00D851BA">
        <w:rPr>
          <w:rFonts w:cs="Arial"/>
          <w:szCs w:val="22"/>
          <w:lang w:val="es-ES_tradnl"/>
        </w:rPr>
        <w:t>Quinto.- Ningún aspirante podrá anular ni modificar su solicitud una vez terminado el plazo de presentación de las mismas.</w:t>
      </w:r>
    </w:p>
    <w:p w:rsidR="00062728" w:rsidRPr="00D851BA" w:rsidRDefault="00062728" w:rsidP="00D851BA">
      <w:pPr>
        <w:spacing w:line="360" w:lineRule="auto"/>
        <w:ind w:left="426" w:firstLine="567"/>
        <w:jc w:val="both"/>
        <w:rPr>
          <w:rFonts w:cs="Arial"/>
          <w:szCs w:val="22"/>
          <w:lang w:val="es-ES_tradnl"/>
        </w:rPr>
      </w:pPr>
    </w:p>
    <w:p w:rsidR="00D851BA" w:rsidRDefault="00D851BA" w:rsidP="00D851BA">
      <w:pPr>
        <w:spacing w:line="360" w:lineRule="auto"/>
        <w:ind w:left="426" w:firstLine="567"/>
        <w:jc w:val="both"/>
        <w:rPr>
          <w:rFonts w:cs="Arial"/>
          <w:szCs w:val="22"/>
          <w:lang w:val="es-ES_tradnl"/>
        </w:rPr>
      </w:pPr>
      <w:r w:rsidRPr="00D851BA">
        <w:rPr>
          <w:rFonts w:cs="Arial"/>
          <w:szCs w:val="22"/>
          <w:lang w:val="es-ES_tradnl"/>
        </w:rPr>
        <w:t>Sexto.- De no formular solicitud de plazas o no corresponderle ninguna de las solicitadas, se procederá a destinarle, con carácter forzoso, a cualquiera de las plazas no adjudicadas.</w:t>
      </w:r>
    </w:p>
    <w:p w:rsidR="00062728" w:rsidRDefault="00062728" w:rsidP="00D851BA">
      <w:pPr>
        <w:spacing w:line="360" w:lineRule="auto"/>
        <w:ind w:left="426" w:firstLine="567"/>
        <w:jc w:val="both"/>
        <w:rPr>
          <w:rFonts w:cs="Arial"/>
          <w:szCs w:val="22"/>
          <w:lang w:val="es-ES_tradnl"/>
        </w:rPr>
      </w:pPr>
    </w:p>
    <w:p w:rsidR="00062728" w:rsidRPr="00D851BA" w:rsidRDefault="00062728" w:rsidP="00D851BA">
      <w:pPr>
        <w:spacing w:line="360" w:lineRule="auto"/>
        <w:ind w:left="426" w:firstLine="567"/>
        <w:jc w:val="both"/>
        <w:rPr>
          <w:rFonts w:cs="Arial"/>
          <w:szCs w:val="22"/>
          <w:lang w:val="es-ES_tradnl"/>
        </w:rPr>
      </w:pPr>
    </w:p>
    <w:p w:rsidR="00D851BA" w:rsidRDefault="00D851BA" w:rsidP="00D851BA">
      <w:pPr>
        <w:spacing w:line="360" w:lineRule="auto"/>
        <w:ind w:left="426" w:firstLine="567"/>
        <w:jc w:val="both"/>
        <w:rPr>
          <w:rFonts w:cs="Arial"/>
          <w:szCs w:val="22"/>
          <w:lang w:val="es-ES_tradnl"/>
        </w:rPr>
      </w:pPr>
      <w:r w:rsidRPr="00D851BA">
        <w:rPr>
          <w:rFonts w:cs="Arial"/>
          <w:szCs w:val="22"/>
          <w:lang w:val="es-ES_tradnl"/>
        </w:rPr>
        <w:t>Séptimo.- La adjudicación de los destinos se hará con carácter forzoso, de acuerdo con el orden de puntuación obtenido en las pruebas selectivas en el ámbito de Península y Baleares.</w:t>
      </w:r>
    </w:p>
    <w:p w:rsidR="00062728" w:rsidRPr="00D851BA" w:rsidRDefault="00062728" w:rsidP="00D851BA">
      <w:pPr>
        <w:spacing w:line="360" w:lineRule="auto"/>
        <w:ind w:left="426" w:firstLine="567"/>
        <w:jc w:val="both"/>
        <w:rPr>
          <w:rFonts w:cs="Arial"/>
          <w:szCs w:val="22"/>
          <w:lang w:val="es-ES_tradnl"/>
        </w:rPr>
      </w:pPr>
    </w:p>
    <w:p w:rsidR="00D851BA" w:rsidRDefault="00D851BA" w:rsidP="00D851BA">
      <w:pPr>
        <w:spacing w:line="360" w:lineRule="auto"/>
        <w:ind w:left="426" w:firstLine="567"/>
        <w:jc w:val="both"/>
        <w:rPr>
          <w:rFonts w:cs="Arial"/>
          <w:szCs w:val="22"/>
          <w:lang w:val="es-ES_tradnl"/>
        </w:rPr>
      </w:pPr>
      <w:r w:rsidRPr="00D851BA">
        <w:rPr>
          <w:rFonts w:cs="Arial"/>
          <w:szCs w:val="22"/>
          <w:lang w:val="es-ES_tradnl"/>
        </w:rPr>
        <w:t>Octavo.-Los destinos adjudicados tendrán carácter definitivo equivalente a todos los efectos a los obtenidos por concurso, sin que puedan participar en éste hasta tanto no hayan transcurrido dos años desde la fecha de la resolución en la que se les adjudique destino definitivo. Para el cómputo de los dos años se estará a lo establecido en el párrafo segundo del artículo 529.3 de la Ley Orgánica 6/1985 de 1 de julio del Poder Judicial.</w:t>
      </w:r>
    </w:p>
    <w:p w:rsidR="00062728" w:rsidRPr="00D851BA" w:rsidRDefault="00062728" w:rsidP="00D851BA">
      <w:pPr>
        <w:spacing w:line="360" w:lineRule="auto"/>
        <w:ind w:left="426" w:firstLine="567"/>
        <w:jc w:val="both"/>
        <w:rPr>
          <w:rFonts w:cs="Arial"/>
          <w:szCs w:val="22"/>
          <w:lang w:val="es-ES_tradnl"/>
        </w:rPr>
      </w:pPr>
    </w:p>
    <w:p w:rsidR="00D851BA" w:rsidRDefault="00D851BA" w:rsidP="00D851BA">
      <w:pPr>
        <w:spacing w:line="360" w:lineRule="auto"/>
        <w:ind w:left="426" w:firstLine="567"/>
        <w:jc w:val="both"/>
        <w:rPr>
          <w:rFonts w:cs="Arial"/>
          <w:szCs w:val="22"/>
          <w:lang w:val="es-ES_tradnl"/>
        </w:rPr>
      </w:pPr>
      <w:r w:rsidRPr="00D851BA">
        <w:rPr>
          <w:rFonts w:cs="Arial"/>
          <w:szCs w:val="22"/>
          <w:lang w:val="es-ES_tradnl"/>
        </w:rPr>
        <w:t>Contra la presente Orden podrá interponerse recurso potestativo de reposición, en el plazo de un mes, ante el Ministerio de Justicia, o contencioso-administrativo ante los Juzgados Centrales de lo Contencioso-Administrativo, en el plazo de dos meses, a partir del día siguiente a su publicación.</w:t>
      </w:r>
    </w:p>
    <w:p w:rsidR="00062728" w:rsidRPr="00D851BA" w:rsidRDefault="00062728" w:rsidP="00D851BA">
      <w:pPr>
        <w:spacing w:line="360" w:lineRule="auto"/>
        <w:ind w:left="426" w:firstLine="567"/>
        <w:jc w:val="both"/>
        <w:rPr>
          <w:rFonts w:cs="Arial"/>
          <w:szCs w:val="22"/>
          <w:lang w:val="es-ES_tradnl"/>
        </w:rPr>
      </w:pPr>
    </w:p>
    <w:p w:rsidR="00CC3731" w:rsidRPr="004E2EE9" w:rsidRDefault="00CC3731">
      <w:pPr>
        <w:ind w:left="283"/>
        <w:jc w:val="center"/>
        <w:rPr>
          <w:rFonts w:cs="Arial"/>
          <w:szCs w:val="22"/>
          <w:lang w:val="es-ES_tradnl"/>
        </w:rPr>
      </w:pPr>
    </w:p>
    <w:p w:rsidR="004E310F" w:rsidRPr="00C86006" w:rsidRDefault="004E310F" w:rsidP="004E310F">
      <w:pPr>
        <w:spacing w:line="360" w:lineRule="auto"/>
        <w:ind w:firstLine="708"/>
        <w:jc w:val="both"/>
        <w:rPr>
          <w:rFonts w:cs="Arial"/>
          <w:szCs w:val="22"/>
        </w:rPr>
      </w:pPr>
      <w:r>
        <w:rPr>
          <w:rFonts w:cs="Arial"/>
          <w:szCs w:val="22"/>
        </w:rPr>
        <w:t>Madrid, 1</w:t>
      </w:r>
      <w:r w:rsidR="00494C55">
        <w:rPr>
          <w:rFonts w:cs="Arial"/>
          <w:szCs w:val="22"/>
        </w:rPr>
        <w:t>5</w:t>
      </w:r>
      <w:r>
        <w:rPr>
          <w:rFonts w:cs="Arial"/>
          <w:szCs w:val="22"/>
        </w:rPr>
        <w:t xml:space="preserve"> de ju</w:t>
      </w:r>
      <w:r w:rsidR="00494C55">
        <w:rPr>
          <w:rFonts w:cs="Arial"/>
          <w:szCs w:val="22"/>
        </w:rPr>
        <w:t>l</w:t>
      </w:r>
      <w:r>
        <w:rPr>
          <w:rFonts w:cs="Arial"/>
          <w:szCs w:val="22"/>
        </w:rPr>
        <w:t>io</w:t>
      </w:r>
      <w:r w:rsidRPr="00C86006">
        <w:rPr>
          <w:rFonts w:cs="Arial"/>
          <w:szCs w:val="22"/>
        </w:rPr>
        <w:t xml:space="preserve"> de 202</w:t>
      </w:r>
      <w:r>
        <w:rPr>
          <w:rFonts w:cs="Arial"/>
          <w:szCs w:val="22"/>
        </w:rPr>
        <w:t>1</w:t>
      </w:r>
      <w:r w:rsidRPr="00C86006">
        <w:rPr>
          <w:rFonts w:cs="Arial"/>
          <w:szCs w:val="22"/>
        </w:rPr>
        <w:t>.- El Ministro de Justici</w:t>
      </w:r>
      <w:r>
        <w:rPr>
          <w:rFonts w:cs="Arial"/>
          <w:szCs w:val="22"/>
        </w:rPr>
        <w:t>a, P.D. (Orden JUS/987/2020</w:t>
      </w:r>
      <w:r w:rsidRPr="00C86006">
        <w:rPr>
          <w:rFonts w:cs="Arial"/>
          <w:szCs w:val="22"/>
        </w:rPr>
        <w:t xml:space="preserve">, de </w:t>
      </w:r>
      <w:r>
        <w:rPr>
          <w:rFonts w:cs="Arial"/>
          <w:szCs w:val="22"/>
        </w:rPr>
        <w:t>20</w:t>
      </w:r>
      <w:r w:rsidRPr="00C86006">
        <w:rPr>
          <w:rFonts w:cs="Arial"/>
          <w:szCs w:val="22"/>
        </w:rPr>
        <w:t xml:space="preserve"> de </w:t>
      </w:r>
      <w:r>
        <w:rPr>
          <w:rFonts w:cs="Arial"/>
          <w:szCs w:val="22"/>
        </w:rPr>
        <w:t>octubre</w:t>
      </w:r>
      <w:r w:rsidRPr="00C86006">
        <w:rPr>
          <w:rFonts w:cs="Arial"/>
          <w:szCs w:val="22"/>
        </w:rPr>
        <w:t xml:space="preserve">).- La Directora General para el Servicio Público de Justicia.- Concepción López-Yuste </w:t>
      </w:r>
      <w:proofErr w:type="spellStart"/>
      <w:r w:rsidRPr="00C86006">
        <w:rPr>
          <w:rFonts w:cs="Arial"/>
          <w:szCs w:val="22"/>
        </w:rPr>
        <w:t>Padial</w:t>
      </w:r>
      <w:proofErr w:type="spellEnd"/>
      <w:r w:rsidRPr="00C86006">
        <w:rPr>
          <w:rFonts w:cs="Arial"/>
          <w:szCs w:val="22"/>
        </w:rPr>
        <w:t>.</w:t>
      </w:r>
    </w:p>
    <w:p w:rsidR="00916D25" w:rsidRPr="004E310F" w:rsidRDefault="00916D25">
      <w:pPr>
        <w:spacing w:line="360" w:lineRule="auto"/>
        <w:ind w:left="426" w:firstLine="567"/>
        <w:jc w:val="both"/>
        <w:rPr>
          <w:rFonts w:cs="Arial"/>
          <w:szCs w:val="22"/>
        </w:rPr>
      </w:pPr>
    </w:p>
    <w:p w:rsidR="00916D25" w:rsidRPr="004E2EE9" w:rsidRDefault="00916D25">
      <w:pPr>
        <w:spacing w:line="360" w:lineRule="auto"/>
        <w:ind w:left="708" w:right="283"/>
        <w:jc w:val="center"/>
        <w:rPr>
          <w:rFonts w:cs="Arial"/>
          <w:szCs w:val="22"/>
          <w:lang w:val="es-ES_tradnl"/>
        </w:rPr>
      </w:pPr>
    </w:p>
    <w:p w:rsidR="00916D25" w:rsidRPr="004E2EE9" w:rsidRDefault="00916D25">
      <w:pPr>
        <w:spacing w:line="360" w:lineRule="auto"/>
        <w:ind w:left="708" w:right="283"/>
        <w:jc w:val="center"/>
        <w:rPr>
          <w:rFonts w:cs="Arial"/>
          <w:szCs w:val="22"/>
          <w:lang w:val="es-ES_tradnl"/>
        </w:rPr>
      </w:pPr>
    </w:p>
    <w:p w:rsidR="00916D25" w:rsidRPr="004E2EE9" w:rsidRDefault="00916D25">
      <w:pPr>
        <w:rPr>
          <w:szCs w:val="22"/>
          <w:lang w:val="es-ES_tradnl"/>
        </w:rPr>
      </w:pPr>
    </w:p>
    <w:sectPr w:rsidR="00916D25" w:rsidRPr="004E2EE9">
      <w:footerReference w:type="default" r:id="rId8"/>
      <w:pgSz w:w="11905" w:h="16837" w:code="9"/>
      <w:pgMar w:top="709" w:right="1132" w:bottom="426" w:left="873" w:header="363"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8B7" w:rsidRDefault="009038B7">
      <w:r>
        <w:separator/>
      </w:r>
    </w:p>
  </w:endnote>
  <w:endnote w:type="continuationSeparator" w:id="0">
    <w:p w:rsidR="009038B7" w:rsidRDefault="0090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E9" w:rsidRDefault="004E2EE9" w:rsidP="004E2EE9">
    <w:pPr>
      <w:spacing w:line="360" w:lineRule="auto"/>
      <w:ind w:left="426" w:right="-23"/>
      <w:jc w:val="center"/>
      <w:rPr>
        <w:rFonts w:cs="Arial"/>
        <w:sz w:val="16"/>
        <w:lang w:val="es-ES_tradnl"/>
      </w:rPr>
    </w:pPr>
    <w:r>
      <w:rPr>
        <w:rFonts w:cs="Arial"/>
        <w:sz w:val="16"/>
        <w:lang w:val="es-ES_tradnl"/>
      </w:rPr>
      <w:t>( NO ESCRIBIR AL DORSO)</w:t>
    </w:r>
  </w:p>
  <w:p w:rsidR="004E2EE9" w:rsidRDefault="004E2EE9" w:rsidP="004E2EE9">
    <w:pPr>
      <w:spacing w:line="360" w:lineRule="auto"/>
      <w:ind w:left="426" w:right="-23"/>
      <w:jc w:val="center"/>
      <w:rPr>
        <w:rFonts w:cs="Arial"/>
        <w:sz w:val="16"/>
        <w:lang w:val="es-ES_tradnl"/>
      </w:rPr>
    </w:pPr>
    <w:r w:rsidRPr="00E26E6E">
      <w:rPr>
        <w:rFonts w:cs="Arial"/>
        <w:sz w:val="16"/>
      </w:rPr>
      <w:t xml:space="preserve">A  4  (210  x  297  </w:t>
    </w:r>
    <w:proofErr w:type="spellStart"/>
    <w:r w:rsidRPr="00E26E6E">
      <w:rPr>
        <w:rFonts w:cs="Arial"/>
        <w:sz w:val="16"/>
      </w:rPr>
      <w:t>mm.</w:t>
    </w:r>
    <w:proofErr w:type="spellEnd"/>
    <w:r w:rsidRPr="00E26E6E">
      <w:rPr>
        <w:rFonts w:cs="Arial"/>
        <w:sz w:val="16"/>
      </w:rPr>
      <w:t xml:space="preserve">  ) </w:t>
    </w:r>
    <w:r>
      <w:rPr>
        <w:rFonts w:cs="Arial"/>
        <w:sz w:val="16"/>
        <w:lang w:val="es-ES_tradnl"/>
      </w:rPr>
      <w:t>U.  N.  E</w:t>
    </w:r>
  </w:p>
  <w:p w:rsidR="004E2EE9" w:rsidRDefault="004E2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8B7" w:rsidRDefault="009038B7">
      <w:r>
        <w:separator/>
      </w:r>
    </w:p>
  </w:footnote>
  <w:footnote w:type="continuationSeparator" w:id="0">
    <w:p w:rsidR="009038B7" w:rsidRDefault="0090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7E84"/>
    <w:multiLevelType w:val="hybridMultilevel"/>
    <w:tmpl w:val="480C436C"/>
    <w:lvl w:ilvl="0" w:tplc="C726870C">
      <w:start w:val="1"/>
      <w:numFmt w:val="lowerLetter"/>
      <w:lvlText w:val="%1)"/>
      <w:lvlJc w:val="left"/>
      <w:pPr>
        <w:tabs>
          <w:tab w:val="num" w:pos="1863"/>
        </w:tabs>
        <w:ind w:left="1863" w:hanging="87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1" w15:restartNumberingAfterBreak="0">
    <w:nsid w:val="1F5A7DFF"/>
    <w:multiLevelType w:val="hybridMultilevel"/>
    <w:tmpl w:val="4296D8B4"/>
    <w:lvl w:ilvl="0" w:tplc="E6026070">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24626F61"/>
    <w:multiLevelType w:val="singleLevel"/>
    <w:tmpl w:val="3CE2F47A"/>
    <w:lvl w:ilvl="0">
      <w:start w:val="1"/>
      <w:numFmt w:val="lowerLetter"/>
      <w:lvlText w:val="%1) "/>
      <w:legacy w:legacy="1" w:legacySpace="0" w:legacyIndent="283"/>
      <w:lvlJc w:val="left"/>
      <w:pPr>
        <w:ind w:left="1699" w:hanging="283"/>
      </w:pPr>
      <w:rPr>
        <w:rFonts w:ascii="Times New Roman" w:hAnsi="Times New Roman" w:hint="default"/>
        <w:b w:val="0"/>
        <w:i w:val="0"/>
        <w:sz w:val="24"/>
        <w:u w:val="none"/>
      </w:rPr>
    </w:lvl>
  </w:abstractNum>
  <w:abstractNum w:abstractNumId="3" w15:restartNumberingAfterBreak="0">
    <w:nsid w:val="54906818"/>
    <w:multiLevelType w:val="singleLevel"/>
    <w:tmpl w:val="3CE2F47A"/>
    <w:lvl w:ilvl="0">
      <w:start w:val="1"/>
      <w:numFmt w:val="lowerLetter"/>
      <w:lvlText w:val="%1) "/>
      <w:legacy w:legacy="1" w:legacySpace="0" w:legacyIndent="283"/>
      <w:lvlJc w:val="left"/>
      <w:pPr>
        <w:ind w:left="991" w:hanging="283"/>
      </w:pPr>
      <w:rPr>
        <w:rFonts w:ascii="Times New Roman" w:hAnsi="Times New Roman" w:hint="default"/>
        <w:b w:val="0"/>
        <w:i w:val="0"/>
        <w:sz w:val="24"/>
        <w:u w:val="none"/>
      </w:rPr>
    </w:lvl>
  </w:abstractNum>
  <w:abstractNum w:abstractNumId="4" w15:restartNumberingAfterBreak="0">
    <w:nsid w:val="7E776EC0"/>
    <w:multiLevelType w:val="hybridMultilevel"/>
    <w:tmpl w:val="01847CBC"/>
    <w:lvl w:ilvl="0" w:tplc="0A607C7C">
      <w:start w:val="1"/>
      <w:numFmt w:val="decimal"/>
      <w:lvlText w:val="%1."/>
      <w:lvlJc w:val="left"/>
      <w:pPr>
        <w:tabs>
          <w:tab w:val="num" w:pos="1071"/>
        </w:tabs>
        <w:ind w:left="1071" w:hanging="360"/>
      </w:pPr>
      <w:rPr>
        <w:rFonts w:hint="default"/>
      </w:rPr>
    </w:lvl>
    <w:lvl w:ilvl="1" w:tplc="0C0A0019" w:tentative="1">
      <w:start w:val="1"/>
      <w:numFmt w:val="lowerLetter"/>
      <w:lvlText w:val="%2."/>
      <w:lvlJc w:val="left"/>
      <w:pPr>
        <w:tabs>
          <w:tab w:val="num" w:pos="1791"/>
        </w:tabs>
        <w:ind w:left="1791" w:hanging="360"/>
      </w:pPr>
    </w:lvl>
    <w:lvl w:ilvl="2" w:tplc="0C0A001B" w:tentative="1">
      <w:start w:val="1"/>
      <w:numFmt w:val="lowerRoman"/>
      <w:lvlText w:val="%3."/>
      <w:lvlJc w:val="right"/>
      <w:pPr>
        <w:tabs>
          <w:tab w:val="num" w:pos="2511"/>
        </w:tabs>
        <w:ind w:left="2511" w:hanging="180"/>
      </w:pPr>
    </w:lvl>
    <w:lvl w:ilvl="3" w:tplc="0C0A000F" w:tentative="1">
      <w:start w:val="1"/>
      <w:numFmt w:val="decimal"/>
      <w:lvlText w:val="%4."/>
      <w:lvlJc w:val="left"/>
      <w:pPr>
        <w:tabs>
          <w:tab w:val="num" w:pos="3231"/>
        </w:tabs>
        <w:ind w:left="3231" w:hanging="360"/>
      </w:pPr>
    </w:lvl>
    <w:lvl w:ilvl="4" w:tplc="0C0A0019" w:tentative="1">
      <w:start w:val="1"/>
      <w:numFmt w:val="lowerLetter"/>
      <w:lvlText w:val="%5."/>
      <w:lvlJc w:val="left"/>
      <w:pPr>
        <w:tabs>
          <w:tab w:val="num" w:pos="3951"/>
        </w:tabs>
        <w:ind w:left="3951" w:hanging="360"/>
      </w:pPr>
    </w:lvl>
    <w:lvl w:ilvl="5" w:tplc="0C0A001B" w:tentative="1">
      <w:start w:val="1"/>
      <w:numFmt w:val="lowerRoman"/>
      <w:lvlText w:val="%6."/>
      <w:lvlJc w:val="right"/>
      <w:pPr>
        <w:tabs>
          <w:tab w:val="num" w:pos="4671"/>
        </w:tabs>
        <w:ind w:left="4671" w:hanging="180"/>
      </w:pPr>
    </w:lvl>
    <w:lvl w:ilvl="6" w:tplc="0C0A000F" w:tentative="1">
      <w:start w:val="1"/>
      <w:numFmt w:val="decimal"/>
      <w:lvlText w:val="%7."/>
      <w:lvlJc w:val="left"/>
      <w:pPr>
        <w:tabs>
          <w:tab w:val="num" w:pos="5391"/>
        </w:tabs>
        <w:ind w:left="5391" w:hanging="360"/>
      </w:pPr>
    </w:lvl>
    <w:lvl w:ilvl="7" w:tplc="0C0A0019" w:tentative="1">
      <w:start w:val="1"/>
      <w:numFmt w:val="lowerLetter"/>
      <w:lvlText w:val="%8."/>
      <w:lvlJc w:val="left"/>
      <w:pPr>
        <w:tabs>
          <w:tab w:val="num" w:pos="6111"/>
        </w:tabs>
        <w:ind w:left="6111" w:hanging="360"/>
      </w:pPr>
    </w:lvl>
    <w:lvl w:ilvl="8" w:tplc="0C0A001B" w:tentative="1">
      <w:start w:val="1"/>
      <w:numFmt w:val="lowerRoman"/>
      <w:lvlText w:val="%9."/>
      <w:lvlJc w:val="right"/>
      <w:pPr>
        <w:tabs>
          <w:tab w:val="num" w:pos="6831"/>
        </w:tabs>
        <w:ind w:left="6831"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EA"/>
    <w:rsid w:val="00024841"/>
    <w:rsid w:val="00052BDD"/>
    <w:rsid w:val="00062728"/>
    <w:rsid w:val="000B5C3A"/>
    <w:rsid w:val="001D59BA"/>
    <w:rsid w:val="002B1BE7"/>
    <w:rsid w:val="002F15C3"/>
    <w:rsid w:val="00311C69"/>
    <w:rsid w:val="003A04E4"/>
    <w:rsid w:val="003D61AB"/>
    <w:rsid w:val="00432827"/>
    <w:rsid w:val="00465086"/>
    <w:rsid w:val="00494C55"/>
    <w:rsid w:val="004D7E2D"/>
    <w:rsid w:val="004E2EE9"/>
    <w:rsid w:val="004E310F"/>
    <w:rsid w:val="00534609"/>
    <w:rsid w:val="00550914"/>
    <w:rsid w:val="00556775"/>
    <w:rsid w:val="00584213"/>
    <w:rsid w:val="00586053"/>
    <w:rsid w:val="00594E4D"/>
    <w:rsid w:val="005C2348"/>
    <w:rsid w:val="005D19C9"/>
    <w:rsid w:val="005E6598"/>
    <w:rsid w:val="005E72AC"/>
    <w:rsid w:val="0060022C"/>
    <w:rsid w:val="00612C4B"/>
    <w:rsid w:val="00641DE7"/>
    <w:rsid w:val="006B1246"/>
    <w:rsid w:val="00764D5C"/>
    <w:rsid w:val="007D78BC"/>
    <w:rsid w:val="007E0786"/>
    <w:rsid w:val="00831365"/>
    <w:rsid w:val="00861B7F"/>
    <w:rsid w:val="008658EA"/>
    <w:rsid w:val="008B4170"/>
    <w:rsid w:val="008C0BF3"/>
    <w:rsid w:val="009038B7"/>
    <w:rsid w:val="00916D25"/>
    <w:rsid w:val="00926F88"/>
    <w:rsid w:val="009422D5"/>
    <w:rsid w:val="009D431A"/>
    <w:rsid w:val="00A2346A"/>
    <w:rsid w:val="00A754DD"/>
    <w:rsid w:val="00A945F2"/>
    <w:rsid w:val="00B42B23"/>
    <w:rsid w:val="00BB5F1B"/>
    <w:rsid w:val="00C01D6D"/>
    <w:rsid w:val="00C2297A"/>
    <w:rsid w:val="00C322D5"/>
    <w:rsid w:val="00CC1C9C"/>
    <w:rsid w:val="00CC3731"/>
    <w:rsid w:val="00CF4796"/>
    <w:rsid w:val="00D851BA"/>
    <w:rsid w:val="00D90AF9"/>
    <w:rsid w:val="00DF02E9"/>
    <w:rsid w:val="00E054EB"/>
    <w:rsid w:val="00E52E6C"/>
    <w:rsid w:val="00E7154A"/>
    <w:rsid w:val="00E732D7"/>
    <w:rsid w:val="00EB4421"/>
    <w:rsid w:val="00EE394B"/>
    <w:rsid w:val="00EF4AA8"/>
    <w:rsid w:val="00EF5E85"/>
    <w:rsid w:val="00F849E6"/>
    <w:rsid w:val="00FD6405"/>
    <w:rsid w:val="00FE1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BDD31"/>
  <w15:chartTrackingRefBased/>
  <w15:docId w15:val="{42526302-92DC-48D6-AE52-2B0FAA24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Ttulo1">
    <w:name w:val="heading 1"/>
    <w:basedOn w:val="Normal"/>
    <w:next w:val="Normal"/>
    <w:qFormat/>
    <w:pPr>
      <w:keepNext/>
      <w:widowControl w:val="0"/>
      <w:tabs>
        <w:tab w:val="left" w:pos="0"/>
        <w:tab w:val="left" w:pos="9356"/>
      </w:tabs>
      <w:jc w:val="both"/>
      <w:outlineLvl w:val="0"/>
    </w:pPr>
    <w:rPr>
      <w:rFonts w:ascii="Times New Roman" w:hAnsi="Times New Roman"/>
      <w:b/>
      <w:snapToGrid w:val="0"/>
      <w:sz w:val="24"/>
      <w:u w:val="single"/>
      <w:lang w:val="es-ES_tradnl"/>
    </w:rPr>
  </w:style>
  <w:style w:type="paragraph" w:styleId="Ttulo2">
    <w:name w:val="heading 2"/>
    <w:basedOn w:val="Normal"/>
    <w:next w:val="Normal"/>
    <w:qFormat/>
    <w:pPr>
      <w:keepNext/>
      <w:widowControl w:val="0"/>
      <w:tabs>
        <w:tab w:val="left" w:pos="0"/>
      </w:tabs>
      <w:spacing w:after="58"/>
      <w:outlineLvl w:val="1"/>
    </w:pPr>
    <w:rPr>
      <w:rFonts w:ascii="Times New Roman" w:hAnsi="Times New Roman"/>
      <w:b/>
      <w:snapToGrid w:val="0"/>
      <w:sz w:val="16"/>
      <w:lang w:val="es-ES_tradnl"/>
    </w:rPr>
  </w:style>
  <w:style w:type="paragraph" w:styleId="Ttulo3">
    <w:name w:val="heading 3"/>
    <w:basedOn w:val="Normal"/>
    <w:next w:val="Normal"/>
    <w:qFormat/>
    <w:pPr>
      <w:keepNext/>
      <w:widowControl w:val="0"/>
      <w:tabs>
        <w:tab w:val="center" w:pos="5590"/>
      </w:tabs>
      <w:jc w:val="center"/>
      <w:outlineLvl w:val="2"/>
    </w:pPr>
    <w:rPr>
      <w:rFonts w:ascii="Times New Roman" w:hAnsi="Times New Roman"/>
      <w:b/>
      <w:snapToGrid w:val="0"/>
      <w:sz w:val="24"/>
      <w:u w:val="single"/>
      <w:lang w:val="es-ES_tradnl"/>
    </w:rPr>
  </w:style>
  <w:style w:type="paragraph" w:styleId="Ttulo4">
    <w:name w:val="heading 4"/>
    <w:basedOn w:val="Normal"/>
    <w:next w:val="Normal"/>
    <w:qFormat/>
    <w:pPr>
      <w:keepNext/>
      <w:ind w:left="283"/>
      <w:jc w:val="center"/>
      <w:outlineLvl w:val="3"/>
    </w:pPr>
    <w:rPr>
      <w:rFonts w:ascii="Times New Roman" w:hAnsi="Times New Roman"/>
      <w:sz w:val="36"/>
      <w:u w:val="single"/>
      <w:lang w:val="es-ES_tradnl"/>
    </w:rPr>
  </w:style>
  <w:style w:type="paragraph" w:styleId="Ttulo5">
    <w:name w:val="heading 5"/>
    <w:basedOn w:val="Normal"/>
    <w:next w:val="Normal"/>
    <w:qFormat/>
    <w:pPr>
      <w:keepNext/>
      <w:jc w:val="center"/>
      <w:outlineLvl w:val="4"/>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385"/>
        <w:tab w:val="left" w:pos="335"/>
        <w:tab w:val="left" w:pos="1055"/>
        <w:tab w:val="left" w:pos="1775"/>
        <w:tab w:val="left" w:pos="2495"/>
        <w:tab w:val="left" w:pos="3215"/>
        <w:tab w:val="left" w:pos="3935"/>
        <w:tab w:val="left" w:pos="4655"/>
        <w:tab w:val="left" w:pos="5375"/>
        <w:tab w:val="left" w:pos="6095"/>
        <w:tab w:val="left" w:pos="6815"/>
        <w:tab w:val="left" w:pos="7535"/>
        <w:tab w:val="left" w:pos="8255"/>
        <w:tab w:val="left" w:pos="8975"/>
        <w:tab w:val="left" w:pos="9695"/>
      </w:tabs>
      <w:ind w:left="-385" w:right="-528"/>
      <w:jc w:val="both"/>
    </w:pPr>
    <w:rPr>
      <w:lang w:val="es-ES_tradnl"/>
    </w:rPr>
  </w:style>
  <w:style w:type="paragraph" w:styleId="Textoindependiente">
    <w:name w:val="Body Text"/>
    <w:basedOn w:val="Normal"/>
    <w:pPr>
      <w:widowControl w:val="0"/>
      <w:tabs>
        <w:tab w:val="left" w:pos="0"/>
      </w:tabs>
      <w:jc w:val="both"/>
    </w:pPr>
    <w:rPr>
      <w:rFonts w:ascii="Times New Roman" w:hAnsi="Times New Roman"/>
      <w:b/>
      <w:snapToGrid w:val="0"/>
      <w:sz w:val="16"/>
      <w:lang w:val="es-ES_tradnl"/>
    </w:rPr>
  </w:style>
  <w:style w:type="paragraph" w:styleId="Textoindependiente2">
    <w:name w:val="Body Text 2"/>
    <w:basedOn w:val="Normal"/>
    <w:pPr>
      <w:widowControl w:val="0"/>
      <w:spacing w:line="120" w:lineRule="exact"/>
    </w:pPr>
    <w:rPr>
      <w:rFonts w:ascii="Times New Roman" w:hAnsi="Times New Roman"/>
      <w:snapToGrid w:val="0"/>
      <w:sz w:val="20"/>
      <w:lang w:val="es-ES_tradn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shd w:val="clear" w:color="auto" w:fill="FFFFFF"/>
      <w:tabs>
        <w:tab w:val="left" w:pos="-426"/>
      </w:tabs>
      <w:jc w:val="both"/>
    </w:pPr>
    <w:rPr>
      <w:rFonts w:ascii="Times New Roman" w:hAnsi="Times New Roman"/>
      <w:b/>
      <w:sz w:val="16"/>
      <w:shd w:val="clear" w:color="auto" w:fill="FFFFFF"/>
      <w:lang w:val="es-ES_tradnl"/>
    </w:rPr>
  </w:style>
  <w:style w:type="paragraph" w:styleId="Sangradetextonormal">
    <w:name w:val="Body Text Indent"/>
    <w:basedOn w:val="Normal"/>
    <w:pPr>
      <w:ind w:left="1701" w:hanging="285"/>
      <w:jc w:val="both"/>
    </w:pPr>
    <w:rPr>
      <w:rFonts w:ascii="Times New Roman" w:hAnsi="Times New Roman"/>
    </w:rPr>
  </w:style>
  <w:style w:type="paragraph" w:styleId="Sangra2detindependiente">
    <w:name w:val="Body Text Indent 2"/>
    <w:basedOn w:val="Normal"/>
    <w:pPr>
      <w:spacing w:line="360" w:lineRule="auto"/>
      <w:ind w:left="709"/>
      <w:jc w:val="both"/>
    </w:pPr>
    <w:rPr>
      <w:rFonts w:ascii="Times New Roman" w:hAnsi="Times New Roman"/>
    </w:rPr>
  </w:style>
  <w:style w:type="paragraph" w:styleId="Textodeglobo">
    <w:name w:val="Balloon Text"/>
    <w:basedOn w:val="Normal"/>
    <w:semiHidden/>
    <w:rsid w:val="00EF5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77A2B53A05FDE4DB7286846D9D8A13D" ma:contentTypeVersion="8" ma:contentTypeDescription="Crear nuevo documento." ma:contentTypeScope="" ma:versionID="557d65903c12f55d072db43bd55a133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80f48454-6511-434b-bae1-23d4dabfb3e3</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105D50-A5BD-4DD4-B2C9-72411D3F8C21}">
  <ds:schemaRefs>
    <ds:schemaRef ds:uri="http://schemas.openxmlformats.org/officeDocument/2006/bibliography"/>
  </ds:schemaRefs>
</ds:datastoreItem>
</file>

<file path=customXml/itemProps2.xml><?xml version="1.0" encoding="utf-8"?>
<ds:datastoreItem xmlns:ds="http://schemas.openxmlformats.org/officeDocument/2006/customXml" ds:itemID="{AC396ECE-CA80-4B30-9178-4850739C89F8}"/>
</file>

<file path=customXml/itemProps3.xml><?xml version="1.0" encoding="utf-8"?>
<ds:datastoreItem xmlns:ds="http://schemas.openxmlformats.org/officeDocument/2006/customXml" ds:itemID="{3DDF6986-9EB5-4E12-80D2-101C6D36C340}"/>
</file>

<file path=customXml/itemProps4.xml><?xml version="1.0" encoding="utf-8"?>
<ds:datastoreItem xmlns:ds="http://schemas.openxmlformats.org/officeDocument/2006/customXml" ds:itemID="{D70BDEE2-866A-4227-8B5A-9FDC8BD1A5E1}"/>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CUARTILLAS PARA EL BOLETIN OFICIAL - PAG</vt:lpstr>
    </vt:vector>
  </TitlesOfParts>
  <Company>Ministerio de Justicia</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OrdenJus_20210715_TR LIBRE ANUNCIO</dc:title>
  <dc:subject/>
  <dc:creator>woin</dc:creator>
  <cp:keywords/>
  <cp:lastModifiedBy>GOMEZ ISABEL, MARIANO</cp:lastModifiedBy>
  <cp:revision>5</cp:revision>
  <cp:lastPrinted>2011-10-11T11:44:00Z</cp:lastPrinted>
  <dcterms:created xsi:type="dcterms:W3CDTF">2021-07-07T09:30:00Z</dcterms:created>
  <dcterms:modified xsi:type="dcterms:W3CDTF">2021-07-08T08:08:00Z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-1611151691</vt:i4>
  </property>
  <property fmtid="{D5CDD505-2E9C-101B-9397-08002B2CF9AE}" pid="3" name="_EmailSubject">
    <vt:lpwstr/>
  </property>
  <property fmtid="{D5CDD505-2E9C-101B-9397-08002B2CF9AE}" pid="4" name="_AuthorEmail">
    <vt:lpwstr>jl.dominguez@sb.mju.es</vt:lpwstr>
  </property>
  <property fmtid="{D5CDD505-2E9C-101B-9397-08002B2CF9AE}" pid="5" name="_AuthorEmailDisplayName">
    <vt:lpwstr>José Luis Domínguez Ávila</vt:lpwstr>
  </property>
  <property fmtid="{D5CDD505-2E9C-101B-9397-08002B2CF9AE}" pid="6" name="_ReviewingToolsShownOnce">
    <vt:lpwstr/>
  </property>
  <property fmtid="{D5CDD505-2E9C-101B-9397-08002B2CF9AE}" pid="7" name="ContentTypeId">
    <vt:lpwstr>0x010100877A2B53A05FDE4DB7286846D9D8A13D</vt:lpwstr>
  </property>
</Properties>
</file>